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6240CC" w:rsidRPr="006240CC" w:rsidTr="006240CC">
        <w:trPr>
          <w:tblCellSpacing w:w="0" w:type="dxa"/>
        </w:trPr>
        <w:tc>
          <w:tcPr>
            <w:tcW w:w="0" w:type="auto"/>
            <w:vAlign w:val="center"/>
            <w:hideMark/>
          </w:tcPr>
          <w:p w:rsidR="006240CC" w:rsidRPr="006240CC" w:rsidRDefault="006240CC" w:rsidP="006240CC">
            <w:pPr>
              <w:spacing w:before="100" w:beforeAutospacing="1" w:after="100" w:afterAutospacing="1"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hyperlink r:id="rId4" w:tgtFrame="_blank" w:history="1">
              <w:r w:rsidRPr="006240CC">
                <w:rPr>
                  <w:rFonts w:ascii="Times New Roman" w:eastAsia="Times New Roman" w:hAnsi="Times New Roman" w:cs="Times New Roman"/>
                  <w:color w:val="0000FF"/>
                  <w:sz w:val="24"/>
                  <w:szCs w:val="24"/>
                  <w:u w:val="single"/>
                  <w:lang w:eastAsia="pl-PL"/>
                </w:rPr>
                <w:t>www.dzikowiec.itl.pl/bip/</w:t>
              </w:r>
            </w:hyperlink>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pict>
                <v:rect id="_x0000_i1025" style="width:0;height:1.5pt" o:hralign="center" o:hrstd="t" o:hr="t" fillcolor="#a0a0a0" stroked="f"/>
              </w:pic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Ogłoszenie nr 346904 - 2016 z dnia 2016-11-18 r. </w:t>
            </w:r>
          </w:p>
          <w:p w:rsidR="006240CC" w:rsidRPr="006240CC" w:rsidRDefault="006240CC" w:rsidP="006240CC">
            <w:pPr>
              <w:spacing w:after="0" w:line="240" w:lineRule="auto"/>
              <w:jc w:val="center"/>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Dzikowiec: Odbieranie i zagospodarowanie odpadów komunalnych z terenu gminy Dzikowiec od właścicieli nieruchomości zamieszkałych</w:t>
            </w:r>
            <w:r w:rsidRPr="006240CC">
              <w:rPr>
                <w:rFonts w:ascii="Times New Roman" w:eastAsia="Times New Roman" w:hAnsi="Times New Roman" w:cs="Times New Roman"/>
                <w:sz w:val="24"/>
                <w:szCs w:val="24"/>
                <w:lang w:eastAsia="pl-PL"/>
              </w:rPr>
              <w:br/>
              <w:t xml:space="preserve">OGŁOSZENIE O ZAMÓWIENIU - Usługi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Zamieszczanie ogłoszenia:</w:t>
            </w:r>
            <w:r w:rsidRPr="006240CC">
              <w:rPr>
                <w:rFonts w:ascii="Times New Roman" w:eastAsia="Times New Roman" w:hAnsi="Times New Roman" w:cs="Times New Roman"/>
                <w:sz w:val="24"/>
                <w:szCs w:val="24"/>
                <w:lang w:eastAsia="pl-PL"/>
              </w:rPr>
              <w:t xml:space="preserve"> obowiązkowe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Ogłoszenie dotyczy:</w:t>
            </w:r>
            <w:r w:rsidRPr="006240CC">
              <w:rPr>
                <w:rFonts w:ascii="Times New Roman" w:eastAsia="Times New Roman" w:hAnsi="Times New Roman" w:cs="Times New Roman"/>
                <w:sz w:val="24"/>
                <w:szCs w:val="24"/>
                <w:lang w:eastAsia="pl-PL"/>
              </w:rPr>
              <w:t xml:space="preserve"> zamówienia publicznego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nie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Nazwa projektu lub programu</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nie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240CC">
              <w:rPr>
                <w:rFonts w:ascii="Times New Roman" w:eastAsia="Times New Roman" w:hAnsi="Times New Roman" w:cs="Times New Roman"/>
                <w:sz w:val="24"/>
                <w:szCs w:val="24"/>
                <w:lang w:eastAsia="pl-PL"/>
              </w:rPr>
              <w:t>Pzp</w:t>
            </w:r>
            <w:proofErr w:type="spellEnd"/>
            <w:r w:rsidRPr="006240C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u w:val="single"/>
                <w:lang w:eastAsia="pl-PL"/>
              </w:rPr>
              <w:t>SEKCJA I: ZAMAWIAJĄCY</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 xml:space="preserve">Postępowanie przeprowadza centralny zamawiający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nie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nie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Informacje na temat podmiotu któremu zamawiający powierzył/powierzyli prowadzenie postępowania:</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Postępowanie jest przeprowadzane wspólnie przez zamawiających</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nie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nie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Informacje dodatkowe:</w:t>
            </w:r>
          </w:p>
          <w:p w:rsidR="006240CC" w:rsidRPr="006240CC" w:rsidRDefault="006240CC" w:rsidP="006240CC">
            <w:pPr>
              <w:spacing w:after="24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lastRenderedPageBreak/>
              <w:t xml:space="preserve">I. 1) NAZWA I ADRES: </w:t>
            </w:r>
            <w:r w:rsidRPr="006240CC">
              <w:rPr>
                <w:rFonts w:ascii="Times New Roman" w:eastAsia="Times New Roman" w:hAnsi="Times New Roman" w:cs="Times New Roman"/>
                <w:sz w:val="24"/>
                <w:szCs w:val="24"/>
                <w:lang w:eastAsia="pl-PL"/>
              </w:rPr>
              <w:t xml:space="preserve">Gmina Dzikowiec, krajowy numer identyfikacyjny 69058169500000, ul. ul. Dworska  62, 36122   Dzikowiec, woj. podkarpackie, państwo Polska, tel. 0-17 7442109, e-mail , faks 0-17 2274508. </w:t>
            </w:r>
            <w:r w:rsidRPr="006240CC">
              <w:rPr>
                <w:rFonts w:ascii="Times New Roman" w:eastAsia="Times New Roman" w:hAnsi="Times New Roman" w:cs="Times New Roman"/>
                <w:sz w:val="24"/>
                <w:szCs w:val="24"/>
                <w:lang w:eastAsia="pl-PL"/>
              </w:rPr>
              <w:br/>
              <w:t>Adres strony internetowej (URL): www.dzikowiec.itl.pl</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 xml:space="preserve">I. 2) RODZAJ ZAMAWIAJĄCEGO: </w:t>
            </w:r>
            <w:r w:rsidRPr="006240CC">
              <w:rPr>
                <w:rFonts w:ascii="Times New Roman" w:eastAsia="Times New Roman" w:hAnsi="Times New Roman" w:cs="Times New Roman"/>
                <w:sz w:val="24"/>
                <w:szCs w:val="24"/>
                <w:lang w:eastAsia="pl-PL"/>
              </w:rPr>
              <w:t xml:space="preserve">Administracja samorządowa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 xml:space="preserve">I.3) WSPÓLNE UDZIELANIE ZAMÓWIENIA </w:t>
            </w:r>
            <w:r w:rsidRPr="006240CC">
              <w:rPr>
                <w:rFonts w:ascii="Times New Roman" w:eastAsia="Times New Roman" w:hAnsi="Times New Roman" w:cs="Times New Roman"/>
                <w:b/>
                <w:bCs/>
                <w:i/>
                <w:iCs/>
                <w:sz w:val="24"/>
                <w:szCs w:val="24"/>
                <w:lang w:eastAsia="pl-PL"/>
              </w:rPr>
              <w:t>(jeżeli dotyczy)</w:t>
            </w:r>
            <w:r w:rsidRPr="006240CC">
              <w:rPr>
                <w:rFonts w:ascii="Times New Roman" w:eastAsia="Times New Roman" w:hAnsi="Times New Roman" w:cs="Times New Roman"/>
                <w:b/>
                <w:bCs/>
                <w:sz w:val="24"/>
                <w:szCs w:val="24"/>
                <w:lang w:eastAsia="pl-PL"/>
              </w:rPr>
              <w:t xml:space="preserve">: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 xml:space="preserve">I.4) KOMUNIKACJA: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tak </w:t>
            </w:r>
            <w:r w:rsidRPr="006240CC">
              <w:rPr>
                <w:rFonts w:ascii="Times New Roman" w:eastAsia="Times New Roman" w:hAnsi="Times New Roman" w:cs="Times New Roman"/>
                <w:sz w:val="24"/>
                <w:szCs w:val="24"/>
                <w:lang w:eastAsia="pl-PL"/>
              </w:rPr>
              <w:br/>
              <w:t>www.dzikowiec.itl.pl/bip/</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nie </w:t>
            </w:r>
            <w:r w:rsidRPr="006240CC">
              <w:rPr>
                <w:rFonts w:ascii="Times New Roman" w:eastAsia="Times New Roman" w:hAnsi="Times New Roman" w:cs="Times New Roman"/>
                <w:sz w:val="24"/>
                <w:szCs w:val="24"/>
                <w:lang w:eastAsia="pl-PL"/>
              </w:rPr>
              <w:br/>
              <w:t>www.dzikowiec.itl.pl/bip/</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nie </w:t>
            </w:r>
            <w:r w:rsidRPr="006240CC">
              <w:rPr>
                <w:rFonts w:ascii="Times New Roman" w:eastAsia="Times New Roman" w:hAnsi="Times New Roman" w:cs="Times New Roman"/>
                <w:sz w:val="24"/>
                <w:szCs w:val="24"/>
                <w:lang w:eastAsia="pl-PL"/>
              </w:rPr>
              <w:br/>
            </w:r>
            <w:proofErr w:type="spellStart"/>
            <w:r w:rsidRPr="006240CC">
              <w:rPr>
                <w:rFonts w:ascii="Times New Roman" w:eastAsia="Times New Roman" w:hAnsi="Times New Roman" w:cs="Times New Roman"/>
                <w:sz w:val="24"/>
                <w:szCs w:val="24"/>
                <w:lang w:eastAsia="pl-PL"/>
              </w:rPr>
              <w:t>nie</w:t>
            </w:r>
            <w:proofErr w:type="spellEnd"/>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Oferty lub wnioski o dopuszczenie do udziału w postępowaniu należy przesyłać:</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Elektronicznie</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nie </w:t>
            </w:r>
            <w:r w:rsidRPr="006240CC">
              <w:rPr>
                <w:rFonts w:ascii="Times New Roman" w:eastAsia="Times New Roman" w:hAnsi="Times New Roman" w:cs="Times New Roman"/>
                <w:sz w:val="24"/>
                <w:szCs w:val="24"/>
                <w:lang w:eastAsia="pl-PL"/>
              </w:rPr>
              <w:br/>
              <w:t xml:space="preserve">adres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240CC">
              <w:rPr>
                <w:rFonts w:ascii="Times New Roman" w:eastAsia="Times New Roman" w:hAnsi="Times New Roman" w:cs="Times New Roman"/>
                <w:sz w:val="24"/>
                <w:szCs w:val="24"/>
                <w:lang w:eastAsia="pl-PL"/>
              </w:rPr>
              <w:br/>
              <w:t xml:space="preserve">nie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240CC">
              <w:rPr>
                <w:rFonts w:ascii="Times New Roman" w:eastAsia="Times New Roman" w:hAnsi="Times New Roman" w:cs="Times New Roman"/>
                <w:sz w:val="24"/>
                <w:szCs w:val="24"/>
                <w:lang w:eastAsia="pl-PL"/>
              </w:rPr>
              <w:br/>
              <w:t xml:space="preserve">tak </w:t>
            </w:r>
            <w:r w:rsidRPr="006240CC">
              <w:rPr>
                <w:rFonts w:ascii="Times New Roman" w:eastAsia="Times New Roman" w:hAnsi="Times New Roman" w:cs="Times New Roman"/>
                <w:sz w:val="24"/>
                <w:szCs w:val="24"/>
                <w:lang w:eastAsia="pl-PL"/>
              </w:rPr>
              <w:br/>
              <w:t xml:space="preserve">Inny sposób: </w:t>
            </w:r>
            <w:r w:rsidRPr="006240CC">
              <w:rPr>
                <w:rFonts w:ascii="Times New Roman" w:eastAsia="Times New Roman" w:hAnsi="Times New Roman" w:cs="Times New Roman"/>
                <w:sz w:val="24"/>
                <w:szCs w:val="24"/>
                <w:lang w:eastAsia="pl-PL"/>
              </w:rPr>
              <w:br/>
              <w:t xml:space="preserve">Inny sposób: </w:t>
            </w:r>
            <w:proofErr w:type="spellStart"/>
            <w:r w:rsidRPr="006240CC">
              <w:rPr>
                <w:rFonts w:ascii="Times New Roman" w:eastAsia="Times New Roman" w:hAnsi="Times New Roman" w:cs="Times New Roman"/>
                <w:sz w:val="24"/>
                <w:szCs w:val="24"/>
                <w:lang w:eastAsia="pl-PL"/>
              </w:rPr>
              <w:t>osobisie</w:t>
            </w:r>
            <w:proofErr w:type="spellEnd"/>
            <w:r w:rsidRPr="006240CC">
              <w:rPr>
                <w:rFonts w:ascii="Times New Roman" w:eastAsia="Times New Roman" w:hAnsi="Times New Roman" w:cs="Times New Roman"/>
                <w:sz w:val="24"/>
                <w:szCs w:val="24"/>
                <w:lang w:eastAsia="pl-PL"/>
              </w:rPr>
              <w:t xml:space="preserve"> za pomoc operatora pocztowego, za </w:t>
            </w:r>
            <w:proofErr w:type="spellStart"/>
            <w:r w:rsidRPr="006240CC">
              <w:rPr>
                <w:rFonts w:ascii="Times New Roman" w:eastAsia="Times New Roman" w:hAnsi="Times New Roman" w:cs="Times New Roman"/>
                <w:sz w:val="24"/>
                <w:szCs w:val="24"/>
                <w:lang w:eastAsia="pl-PL"/>
              </w:rPr>
              <w:t>pośrenictwem</w:t>
            </w:r>
            <w:proofErr w:type="spellEnd"/>
            <w:r w:rsidRPr="006240CC">
              <w:rPr>
                <w:rFonts w:ascii="Times New Roman" w:eastAsia="Times New Roman" w:hAnsi="Times New Roman" w:cs="Times New Roman"/>
                <w:sz w:val="24"/>
                <w:szCs w:val="24"/>
                <w:lang w:eastAsia="pl-PL"/>
              </w:rPr>
              <w:t xml:space="preserve"> kuriera</w:t>
            </w:r>
            <w:r w:rsidRPr="006240CC">
              <w:rPr>
                <w:rFonts w:ascii="Times New Roman" w:eastAsia="Times New Roman" w:hAnsi="Times New Roman" w:cs="Times New Roman"/>
                <w:sz w:val="24"/>
                <w:szCs w:val="24"/>
                <w:lang w:eastAsia="pl-PL"/>
              </w:rPr>
              <w:br/>
              <w:t xml:space="preserve">Adres: </w:t>
            </w:r>
            <w:r w:rsidRPr="006240CC">
              <w:rPr>
                <w:rFonts w:ascii="Times New Roman" w:eastAsia="Times New Roman" w:hAnsi="Times New Roman" w:cs="Times New Roman"/>
                <w:sz w:val="24"/>
                <w:szCs w:val="24"/>
                <w:lang w:eastAsia="pl-PL"/>
              </w:rPr>
              <w:br/>
              <w:t>Gmina Dzikowiec , ul. Dworska 62 36-122 Dzikowiec , pok. nr 11</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lastRenderedPageBreak/>
              <w:t xml:space="preserve">nie </w:t>
            </w:r>
            <w:r w:rsidRPr="006240C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u w:val="single"/>
                <w:lang w:eastAsia="pl-PL"/>
              </w:rPr>
              <w:t xml:space="preserve">SEKCJA II: PRZEDMIOT ZAMÓWIENIA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II.1) Nazwa nadana zamówieniu przez zamawiającego: </w:t>
            </w:r>
            <w:r w:rsidRPr="006240CC">
              <w:rPr>
                <w:rFonts w:ascii="Times New Roman" w:eastAsia="Times New Roman" w:hAnsi="Times New Roman" w:cs="Times New Roman"/>
                <w:sz w:val="24"/>
                <w:szCs w:val="24"/>
                <w:lang w:eastAsia="pl-PL"/>
              </w:rPr>
              <w:t>Odbieranie i zagospodarowanie odpadów komunalnych z terenu gminy Dzikowiec od właścicieli nieruchomości zamieszkałych</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Numer referencyjny: </w:t>
            </w:r>
            <w:r w:rsidRPr="006240CC">
              <w:rPr>
                <w:rFonts w:ascii="Times New Roman" w:eastAsia="Times New Roman" w:hAnsi="Times New Roman" w:cs="Times New Roman"/>
                <w:sz w:val="24"/>
                <w:szCs w:val="24"/>
                <w:lang w:eastAsia="pl-PL"/>
              </w:rPr>
              <w:t>ZP.271.7.2016</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240CC" w:rsidRPr="006240CC" w:rsidRDefault="006240CC" w:rsidP="006240CC">
            <w:pPr>
              <w:spacing w:after="0" w:line="240" w:lineRule="auto"/>
              <w:jc w:val="both"/>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nie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II.2) Rodzaj zamówienia: </w:t>
            </w:r>
            <w:r w:rsidRPr="006240CC">
              <w:rPr>
                <w:rFonts w:ascii="Times New Roman" w:eastAsia="Times New Roman" w:hAnsi="Times New Roman" w:cs="Times New Roman"/>
                <w:sz w:val="24"/>
                <w:szCs w:val="24"/>
                <w:lang w:eastAsia="pl-PL"/>
              </w:rPr>
              <w:t xml:space="preserve">usługi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II.3) Informacja o możliwości składania ofert częściowych</w:t>
            </w:r>
            <w:r w:rsidRPr="006240CC">
              <w:rPr>
                <w:rFonts w:ascii="Times New Roman" w:eastAsia="Times New Roman" w:hAnsi="Times New Roman" w:cs="Times New Roman"/>
                <w:sz w:val="24"/>
                <w:szCs w:val="24"/>
                <w:lang w:eastAsia="pl-PL"/>
              </w:rPr>
              <w:br/>
              <w:t xml:space="preserve">Zamówienie podzielone jest na części: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Nie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II.4) Krótki opis przedmiotu zamówienia </w:t>
            </w:r>
            <w:r w:rsidRPr="006240C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240C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240CC">
              <w:rPr>
                <w:rFonts w:ascii="Times New Roman" w:eastAsia="Times New Roman" w:hAnsi="Times New Roman" w:cs="Times New Roman"/>
                <w:sz w:val="24"/>
                <w:szCs w:val="24"/>
                <w:lang w:eastAsia="pl-PL"/>
              </w:rPr>
              <w:t xml:space="preserve">Przedmiotem zamówienia jest odbieranie, transport i zagospodarowanie odpadów komunalnych od właścicieli nieruchomości zamieszkałych oraz Punktów Selektywnej Zbiórki Odpadów Komunalnych z terenu Gminy Dzikowiec. Zakres rzeczowy przedmiotu zamówienia: A. Ogólna charakterystyka Gminy Dzikowiec w kontekście odbioru i zagospodarowania odpadów. 1. Liczba mieszkańców zamieszkałych na terenie Gminy Dzikowiec wynosi: ok. 5 288 osób (zameldowanych wg stanu na dzień 30.09.2016 jest ok. 6 611 osób) 2. Na terenie Gminy Dzikowiec znajduje się około 1315 nieruchomości . 3. Obszar Gminy wynosi 12 166 ha, w skład Gminy Dzikowiec wchodzi 8 miejscowości: 4. Dzikowiec, Nowy Dzikowiec, Lipnica, Kopcie, Wilcza Wola, Mechowiec, Osia Góra, Płazówka. 5. W Gminie Dzikowiec w okresie od 01.01.2015 do 31.12.2015 roku z nieruchomości zamieszkałych i PSZOK zebrano następujące ilości odpadów komunalnych (ilości podane są w Mg) : Kod odpadu 15 01 01 – opakowania z papieru i tektury – 2,8 Mg Kod odpadu 15 01 02- opakowania z tworzyw sztucznych– 21,1 Mg Kod odpadu 150107 – opakowania ze szkła – 52,9 Mg Kod odpadu 150106 – zmieszane odpady opakowaniowe – 0,3 Mg Kod odpadu 20 01 23 – urządzenia zawierające freony – 0,1 Mg Kod odpadu 20 01 35 – zużyte urządzenia elektryczne i elektroniczne inne niż wymienione 20 01 21 i 20 01 23 zawierające niebezpieczne składniki – 0,3 inne niż wymienione w 20 01 21, 20 01 23, 20 01 35 –0,2 Mg Kod odpadu 20 03 01 – niesegregowane (zmieszane) odpady komunalne –342,4 Mg Kod odpadu 20 03 07- odpady wielkogabarytowe – 2,4 Mg Kod odpadu 16 01 03 – zużyte opony -3,0 Mg Kod odpadu 17 01 07 -Zmieszane odpady z betonu, gruzu ceglanego, odpadowych materiałów ceramicznych i elementów wyposażenia inne niż wymienione w 17 01 06 – 10,6 Mg Razem odpady: 435,80 Mg B. Szczegółowy opis przedmiotu zamówienia 1. Wykonawca zobowiązany jest do odbioru, transportu i zagospodarowania całej ilości odpadów komunalnych wystawionych i przekazanych przez właścicieli nieruchomości zamieszkałych, w tym: a) zmieszanych odpadów </w:t>
            </w:r>
            <w:r w:rsidRPr="006240CC">
              <w:rPr>
                <w:rFonts w:ascii="Times New Roman" w:eastAsia="Times New Roman" w:hAnsi="Times New Roman" w:cs="Times New Roman"/>
                <w:sz w:val="24"/>
                <w:szCs w:val="24"/>
                <w:lang w:eastAsia="pl-PL"/>
              </w:rPr>
              <w:lastRenderedPageBreak/>
              <w:t xml:space="preserve">komunalnych, b) papieru i tektury, c) szkła, d) tworzyw sztucznych, odpadów wielomateriałowych, e) opakowania z metali, metale. 2. Wykonawca zobowiązany jest do nieodpłatnego wyposażenia nieruchomości z których odbierane są odpady komunalne w pojemniki: - o pojemności 120 l – 1 szt. na kółkach, - w kolorowe worki o pojemności 80-120 l w ilości po 2 szt. z każdego rodzaju do gromadzenia odpadów w sposób selektywny z folii LDPE o grubości zapewniającej wytrzymałość worków przeznaczonych na gromadzenie odpadów selektywnych lub zgodnie z rzeczywistymi potrzebami mieszkańców: a) żółtego – tworzywa sztuczne, b) białego – szkło, c) niebieskiego – papier i tektura, d) czerwonego- metale i odpady wielomateriałowe, 3. Wykonawca udostępnia worki do gromadzenia odpadów w sposób selektywny, które będą przekazywane mieszkańcom gminy przy każdym odbiorze w takiej samej ilości i rodzaju jakie zostały odebrane. Worki winny być oznaczone odpowiednią informacją o rodzaju gromadzonych w nich odpadów, nazwą, adresem oraz numerem telefonu Wykonawcy i Zamawiającego. Wykonawca zobowiązany będzie najpóźniej do 31 grudnia 2016r. do wyposażenia nieruchomości zamieszkałych w odpowiednie pojemniki i worki oraz wyposażenia Punktów Selektywnej Zbiórki Odpadów Komunalnych (PSZOK) położonego w miejscowości Wilcza Wola na działce nr </w:t>
            </w:r>
            <w:proofErr w:type="spellStart"/>
            <w:r w:rsidRPr="006240CC">
              <w:rPr>
                <w:rFonts w:ascii="Times New Roman" w:eastAsia="Times New Roman" w:hAnsi="Times New Roman" w:cs="Times New Roman"/>
                <w:sz w:val="24"/>
                <w:szCs w:val="24"/>
                <w:lang w:eastAsia="pl-PL"/>
              </w:rPr>
              <w:t>ewid</w:t>
            </w:r>
            <w:proofErr w:type="spellEnd"/>
            <w:r w:rsidRPr="006240CC">
              <w:rPr>
                <w:rFonts w:ascii="Times New Roman" w:eastAsia="Times New Roman" w:hAnsi="Times New Roman" w:cs="Times New Roman"/>
                <w:sz w:val="24"/>
                <w:szCs w:val="24"/>
                <w:lang w:eastAsia="pl-PL"/>
              </w:rPr>
              <w:t xml:space="preserve">. 1546/1 oraz w miejscowości Nowy Dzikowiec, 36-122 Dzikowiec ul. Komunalna 4 na działce nr </w:t>
            </w:r>
            <w:proofErr w:type="spellStart"/>
            <w:r w:rsidRPr="006240CC">
              <w:rPr>
                <w:rFonts w:ascii="Times New Roman" w:eastAsia="Times New Roman" w:hAnsi="Times New Roman" w:cs="Times New Roman"/>
                <w:sz w:val="24"/>
                <w:szCs w:val="24"/>
                <w:lang w:eastAsia="pl-PL"/>
              </w:rPr>
              <w:t>ewid</w:t>
            </w:r>
            <w:proofErr w:type="spellEnd"/>
            <w:r w:rsidRPr="006240CC">
              <w:rPr>
                <w:rFonts w:ascii="Times New Roman" w:eastAsia="Times New Roman" w:hAnsi="Times New Roman" w:cs="Times New Roman"/>
                <w:sz w:val="24"/>
                <w:szCs w:val="24"/>
                <w:lang w:eastAsia="pl-PL"/>
              </w:rPr>
              <w:t xml:space="preserve">. 232/2, 233/2 w odpowiednie kontenery o minimalnej objętości 7 m3 i pojemniki o minimalnej objętości 1100 l. Obsługę i funkcjonowanie PSZOK zapewnia Zamawiający. W PSZOK odbierane będą odpady segregowane o kodach: Kod odpadu 200135 –zużyte urządzenia elektryczne i elektroniczne inne niż wymienione 20 01 21 i 20 01 23 zawierające niebezpieczne składniki Kod odpadu 200136 –zużyte urządzenia elektryczne i elektroniczne inne niż wymienione w 200121, 200123, 200135 Kod odpadu 200307-odpady wielkogabarytowe Kod odpadu 200108,200201 –odpady ulegające biodegradacji Kod odpadu 200127,200128 –farby, tusze, farby drukarskie, kleje Kod odpadu 200113–rozpuszczalniki Kod odpadu 170101, 170102, 170103, 17 01 07 – drobne odpady budowlane i rozbiórkowe Kod odpadu 200199 –popiół z gospodarstw domowych Kod odpadu150101- opakowania z papieru i tektury Kod odpadu 150104 , 200140 -opakowania z metalu , metale Kod odpadu 160103 – zużyte opony. 4. Częstotliwość odbioru odpadów zmieszanych i selektywnych Wykonawca jest zobowiązany do odbierania odpadów komunalnych zmieszanych i segregowanych z terenu gminy Dzikowiec z nieruchomości zamieszkałych z częstotliwością: 1) odpady zmieszane : co najmniej jeden raz w miesiącu, 2) odpady selektywne : szkło, tworzywa sztuczne – styczeń, marzec, maj, czerwiec, lipiec, sierpień, wrzesień, październik, grudzień, 3) odpady selektywne: opakowania z papieru i tektury, opakowania z metali, metale, opakowania wielomateriałowe – raz na kwartał, 4) odpady ulegające biodegradacji – systematyczny odbiór odpadów, nie rzadziej niż raz na kwartał z Punktu Selektywnego Zbierania Odpadów Komunalnych, aby nie dopuścić do ich przepełnienia i wysypywania, 5) odpady wielkogabarytowe, meble – systematyczny odbiór odpadów, nie rzadziej niż raz na kwartał z Punktu Selektywnego Zbierania Odpadów Komunalnych aby nie dopuścić do ich przepełnienia i wysypywania, 6) zużyty sprzęt elektroniczny i elektryczny - systematyczny odbiór odpadów, nie rzadziej niż raz na kwartał z Punktu Selektywnego Zbierania Odpadów Komunalnych aby nie dopuścić do ich przepełnienia i wysypywania, 7) odpady budowlane i rozbiórkowe – systematyczny odbiór odpadów, nie rzadziej niż raz na kwartał z Punktu Selektywnego Zbierania Odpadów Komunalnych aby nie dopuścić do ich przepełnienia i wysypywania . 8) Środki ze sprzedaży selektywnie odebranych surowców wtórnych są przychodem </w:t>
            </w:r>
            <w:r w:rsidRPr="006240CC">
              <w:rPr>
                <w:rFonts w:ascii="Times New Roman" w:eastAsia="Times New Roman" w:hAnsi="Times New Roman" w:cs="Times New Roman"/>
                <w:sz w:val="24"/>
                <w:szCs w:val="24"/>
                <w:lang w:eastAsia="pl-PL"/>
              </w:rPr>
              <w:lastRenderedPageBreak/>
              <w:t xml:space="preserve">Wykonawcy, który powinien być uwzględniony w kalkulacji ceny oferty. 5. Odbiór odpadów z PSZOK następował będzie na zgłoszenie Zamawiającego w godzinach otwarcia. 6. Wykonawca zobowiązany będzie w ramach umowy do przygotowania harmonogramu odpadów oraz do jego dystrybucji wśród właścicieli nieruchomości do dnia 31grudnia 2016 r. Wykonawca będzie zobowiązany również do dystrybucji wśród właścicieli nieruchomości innych dokumentów związanych z Systemem Gospodarki Odpadami Komunalnymi. 7. Wykonawca zobowiązany jest do odbierania odpadów komunalnych od właścicieli nieruchomości zamieszkałych zgodnie z ustalonym przez Wykonawcę harmonogramem i zatwierdzonym przez Zamawiającego. 8. Wykonawca jest zobowiązany do realizacji „reklamacji” (nieodbieranie z nieruchomości odpadów komunalnych zgodnie z harmonogramem, niedostarczenie worków na odpady segregowane itp.)w przeciągu 3 dni roboczych od otrzymania zawiadomienia e-mailem od zamawiającego. Wykonanie reklamacji należy niezwłocznie potwierdzić e-mailem na adres Zamawiającego. 9. Wykonawca jest zobowiązany do porządkowania terenu zanieczyszczonego odpadami komunalnymi i innymi zanieczyszczeniami wysypanymi z pojemników, kontenerów, worków, pojazdów w trakcie realizacji usługi wywozu. 10. Wykonawca zobowiązany jest do odbioru, transportu i zagospodarowania odpadów zebranych w PSZOK systematycznie, nie rzadziej niż raz na kwartał aby nie dopuścić do ich przepełnienia i wysypywania . Obsługę i funkcjonowanie zapewnia zamawiający. 11. Urządzenia do gromadzenia odpadów komunalnych zostaną ustawione przez wykonawcę w miejscach uzgodnionych z właścicielami nieruchomości. Jeśli podczas odbierania odpadów komunalnych dojdzie do uszkodzenia lub zniszczenia z winy Wykonawcy pojemników, wykonawca w trakcie realizacji zamówienia zobowiązany będzie do dodatkowego dostarczenia pojemników na swój koszt. 12. System odbierania odpadów komunalnych nie obejmuje odpadów powstających w wyniku prowadzenia działalności gospodarczej. 13. Wykonawca podczas realizacji zamówienia zapewni osiągnięcie odpowiednich poziomów recyklingu, przygotowania do ponownego użycia i odzysku innymi metodami oraz ograniczenia masy odpadów komunalnych ulegających biodegradacji przekazywanych do składowania zgodnie z obowiązującymi przepisami. 14. W trakcie realizacji umowy Wykonawca zobowiązany będzie do wyposażenia nieruchomości w odpowiednie pojemniki na odpady zmieszane o pojemności 120 litrów na kółkach (szacunkowa ilość pojemników 1315) oraz worki przeznaczone na surowce wtórne o pojemności od 80-120 litrów w ilości 2 szt. z każdego rodzaju zgodnie ze zgłoszeniem Zamawiającego. Dostarczenie i ustawienie pojemników na odpady zmieszane na teren wskazanych nieruchomości nastąpi w ciągu 2 dni roboczych od dnia zgłoszenia przez Zamawiającego. Dotyczy to sytuacji zmiany ilości pojemników na danej nieruchomości, bądź nowych nieruchomości jeżeli pojawią się w trakcie realizacji zamówienia. 15. W dniu podpisania umowy Wykonawca otrzyma od Zamawiającego szczegółowy wykaz właścicieli nieruchomości, z których odbierane będą stałe odpady komunalne. 16. Za szkody w majątku Zamawiającego lub osób trzecich spowodowane w trakcie odbioru odpadów odpowiedzialność ponosi Wykonawca. 17. Wykonawca w ramach realizacji przedmiotu zamówienia nie będzie mógł mieszać selektywnie zebranych odpadów komunalnych z niesegregowanymi (zmieszanymi) odpadami komunalnymi. 18. Wykonawca zobowiązany będzie do ważenia wszystkich odebranych odpadów komunalnych na legalizowanej wadze własnej lub punkcie w miejscu odbioru odpadów. 19. Wykonawca zobowiązany jest do przekazania odebranych zmieszanych odpadów komunalnych, pozostałości z sortowania </w:t>
            </w:r>
            <w:r w:rsidRPr="006240CC">
              <w:rPr>
                <w:rFonts w:ascii="Times New Roman" w:eastAsia="Times New Roman" w:hAnsi="Times New Roman" w:cs="Times New Roman"/>
                <w:sz w:val="24"/>
                <w:szCs w:val="24"/>
                <w:lang w:eastAsia="pl-PL"/>
              </w:rPr>
              <w:lastRenderedPageBreak/>
              <w:t xml:space="preserve">odpadów komunalnych oraz odpadów zielonych do regionalnej instalacji przetwarzania odpadów komunalnych wskazanej w „Planie gospodarki odpadami dla województwa podkarpackiego”, oraz do przekazywania selektywnie zebranych odpadów komunalnych do instalacji odzysku i unieszkodliwiania odpadów zgodnie z obowiązującymi przepisami ustawy z dnia 14 grudnia 2012 roku, o odpadach. 20. Wykonawca zobowiązany będzie do dostarczenia odpadów na własny koszt do instalacji przewidzianej do zastępczej obsługi w przypadku awarii regionalnej instalacji. 21. Wykonawca zobowiązany będzie do monitorowania obowiązku ciążącego na właścicielu nieruchomości w zakresie selektywnego zbierania odpadów komunalnych, a w przypadku ich niedopełnienia wykonawca zobowiązany jest przyjąć odpady jako zmieszane odpady komunalne. Wykonawca zobowiązany będzie w ciągu 3 dni roboczych od dnia zaistnienia opisanej sytuacji do pisemnego powiadomienia o tym zamawiającego. Do informacji wykonawca zobowiązany będzie dołączyć dokumentację(protokół z zaistnienia takiego zdarzenia) umożliwiają identyfikację nieruchomości. 22. Wykonawca w okresie obowiązywania umowy jest zobowiązany ograniczyć masę odpadów komunalnych ulegających biodegradacji przekazywanych do składowania do wysokości określonej w przepisach rozporządzenia Ministra Środowiska z dnia 25 maja 2012 r. w sprawie poziomów ograniczenia masy odpadów komunalnych ulegających biodegradacji przekazywanych do składowania oraz sposobu obliczania ograniczania masy tych odpadów (Dz. U. z 2012 r. poz. 676). 23. W przypadku stwierdzenia, że usługi wykonywane są niezgodnie z obowiązującymi przepisami Zamawiający może odmówić zapłaty i żądać ich ponownego wykonania lub odstąpić od umowy z winy Wykonawcy z naliczeniem kary umownej. 25. Obowiązkiem Wykonawcy będzie odbieranie odpadów komunalnych od wszystkich właścicieli nieruchomości zamieszkałych położonych na terenie gminy Dzikowiec. Usługa obejmuje zapewnienie przez Wykonawcę dojazdu do punktów trudnodostępnych (szczególnie zimą i w okresie wzmożonych opadów deszczu i śniegu) poprzez zorganizowanie środków transportu, które umożliwią odbiór odpadów z punktów adresowych o problematycznej lokalizacji. 26. Wykonawca zobowiązany jest: a) posiadać co najmniej 2 pojazdy przystosowane do odbierania zmieszanych odpadów komunalnych b) co najmniej 2 pojazdy przystosowane do odbierania selektywnie zebranych odpadów komunalnych, a także co najmniej jeden pojazd do odbierania odpadów bez funkcji kompaktującej, c) trwale i czytelnie oznakować pojazdy w widocznym miejscu z nazwą firmy oraz danymi adresowymi i numerem telefonu podmiotu odbierającego odpady komunalne, d) aby pojazdy były zarejestrowane i dopuszczone do ruchu oraz posiadały aktualne badania techniczne i świadectwa dopuszczenia do ruchu zgodnie z przepisami o ruchu drogowym, e) aby konstrukcja pojazdów zabezpieczała przed niekontrolowanym wydostaniem się na zewnątrz odpadów, podczas ich magazynowania, przeładunku, a także transportu, f) poddawać pojazdy i urządzenia myciu i dezynfekcji z częstotliwością gwarantującą zapewnienie im właściwego stanu sanitarnego, nie rzadziej niż raz na miesiąc, a w okresie letnim nie rzadziej niż raz na 2 tygodnie - Wykonawca winien posiadać aktualne dokumenty potwierdzające wykonanie czynności, g) aby konstrukcja pojazdów zabezpieczała przed rozwiewaniem i rozpylaniem przewożonych odpadów oraz minimalizowała oddziaływanie czynników atmosferycznych na odpady, h) dopuszcza się wyposażenie pojazdów w urządzenie do ważenia odpadów komunalnych. 27. Obowiązkiem Wykonawcy będzie zabranie dostawionych przy pojemnikach worków z niesegregowanymi (zmieszanymi) odpadami komunalnymi, jak również przedstawienie Zamawiającemu (jeden raz w miesiącu) sprawozdania z </w:t>
            </w:r>
            <w:r w:rsidRPr="006240CC">
              <w:rPr>
                <w:rFonts w:ascii="Times New Roman" w:eastAsia="Times New Roman" w:hAnsi="Times New Roman" w:cs="Times New Roman"/>
                <w:sz w:val="24"/>
                <w:szCs w:val="24"/>
                <w:lang w:eastAsia="pl-PL"/>
              </w:rPr>
              <w:lastRenderedPageBreak/>
              <w:t xml:space="preserve">miejsc odbioru tego rodzaju worków. C. Obowiązki dotyczące prowadzenia dokumentacji związanej z realizacją zamówienia: a) Wykonawca jest zobowiązany do przedkładania Zamawiającemu raportów miesięcznych zawierających informacje o ilości i rodzaju pojemników znajdujących się na nieruchomościach, które obsługuje Wykonawca. Ponadto Wykonawca zobowiązany będzie sporządzić i przekazać Zamawiającemu imienny wykaz zmian w ilości i rodzaju pojemników, które nastąpiły w danym miesiącu. b) Wykonawca będzie zobowiązany do dostarczania Zamawiającemu w wersji papierowej sprawozdań półrocznych o jakich mowa w art. 9 n ustawy o Utrzymaniu czystości i porządku w gminach Sprawozdania powinny być sporządzone zgodnie z rozporządzeniem Ministra Środowiska z 15 maja 2012 r. w sprawie wzorów sprawozdań o odebranych odpadach komunalnych, odebranych nieczystościach ciekłych oraz realizacji zadań z zakresu gospodarowania odpadami, a w przypadku zmiany rozporządzenia, zgodnie z obowiązującymi wzorami druków. c)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 d) Wykonawca zobowiązany będzie do przedkładania Zamawiającemu najpóźniej wraz z fakturą za dany okres rozliczeniowy raportów wagowych zawierających wyszczególnienie miejsca odbioru odpadów oraz ilości i rodzaju odebranych odpadów (zgodnie z obowiązująca klasyfikacją odpadów). e) Wykonawca zobowiązany będzie do przekazywania Zamawiającemu kart przekazania odpadów do RIPOK-ów bądź innej jednostki do odbioru odpadów selektywnie zebranych zgodnie z obowiązującymi wzorami, o jakich mowa w rozporządzeniu Ministra Środowiska z 8 grudnia 2010 r. w sprawie wzorów stosowanych na potrzeby ewidencji i odpadów, rozporządzeniu Ministra Środowiska z dnia 8 grudnia 2010 r. w sprawie zakresu informacji oraz wzorów formularzy służących do sporządzania i przekazywania zbiorczych zestawień danych o odpadach. Zamawiający zastrzega, że wszędzie tam, gdzie w treści dokumentów składających się na opis przedmiotu zamówienia i w samym opisie zostały wskazane znaki towarowe, patenty, pochodzenie lub normy, Zamawiający dopuszcza metody, materiały, urządzenia, systemy, technologie, produkty, itp. równoważne do przedstawionych w opisie przedmiotu zamówienia. Zamawiający do wszystkich nazw, znaków towarowych, patentów lub pochodzenia wskazanych w szczegółowym opisie przedmiotu zamówienia , dopisuje wyrazy „lub równoważny”.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II.5) Główny kod CPV: </w:t>
            </w:r>
            <w:r w:rsidRPr="006240CC">
              <w:rPr>
                <w:rFonts w:ascii="Times New Roman" w:eastAsia="Times New Roman" w:hAnsi="Times New Roman" w:cs="Times New Roman"/>
                <w:sz w:val="24"/>
                <w:szCs w:val="24"/>
                <w:lang w:eastAsia="pl-PL"/>
              </w:rPr>
              <w:t>90513100-7</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Dodatkowe kody CPV:</w:t>
            </w:r>
            <w:r w:rsidRPr="006240CC">
              <w:rPr>
                <w:rFonts w:ascii="Times New Roman" w:eastAsia="Times New Roman" w:hAnsi="Times New Roman" w:cs="Times New Roman"/>
                <w:sz w:val="24"/>
                <w:szCs w:val="24"/>
                <w:lang w:eastAsia="pl-PL"/>
              </w:rPr>
              <w:t>90500000-2, 90533000-2, 90514000-3, 90512000-9</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II.6) Całkowita wartość zamówienia </w:t>
            </w:r>
            <w:r w:rsidRPr="006240CC">
              <w:rPr>
                <w:rFonts w:ascii="Times New Roman" w:eastAsia="Times New Roman" w:hAnsi="Times New Roman" w:cs="Times New Roman"/>
                <w:i/>
                <w:iCs/>
                <w:sz w:val="24"/>
                <w:szCs w:val="24"/>
                <w:lang w:eastAsia="pl-PL"/>
              </w:rPr>
              <w:t>(jeżeli zamawiający podaje informacje o wartości zamówienia)</w:t>
            </w:r>
            <w:r w:rsidRPr="006240CC">
              <w:rPr>
                <w:rFonts w:ascii="Times New Roman" w:eastAsia="Times New Roman" w:hAnsi="Times New Roman" w:cs="Times New Roman"/>
                <w:sz w:val="24"/>
                <w:szCs w:val="24"/>
                <w:lang w:eastAsia="pl-PL"/>
              </w:rPr>
              <w:t xml:space="preserve">: </w:t>
            </w:r>
            <w:r w:rsidRPr="006240CC">
              <w:rPr>
                <w:rFonts w:ascii="Times New Roman" w:eastAsia="Times New Roman" w:hAnsi="Times New Roman" w:cs="Times New Roman"/>
                <w:sz w:val="24"/>
                <w:szCs w:val="24"/>
                <w:lang w:eastAsia="pl-PL"/>
              </w:rPr>
              <w:br/>
              <w:t xml:space="preserve">Wartość bez VAT: </w:t>
            </w:r>
            <w:r w:rsidRPr="006240CC">
              <w:rPr>
                <w:rFonts w:ascii="Times New Roman" w:eastAsia="Times New Roman" w:hAnsi="Times New Roman" w:cs="Times New Roman"/>
                <w:sz w:val="24"/>
                <w:szCs w:val="24"/>
                <w:lang w:eastAsia="pl-PL"/>
              </w:rPr>
              <w:br/>
              <w:t xml:space="preserve">Waluta: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i/>
                <w:iCs/>
                <w:sz w:val="24"/>
                <w:szCs w:val="24"/>
                <w:lang w:eastAsia="pl-PL"/>
              </w:rPr>
              <w:t xml:space="preserve">(w przypadku umów ramowych lub dynamicznego systemu zakupów – szacunkowa </w:t>
            </w:r>
            <w:r w:rsidRPr="006240CC">
              <w:rPr>
                <w:rFonts w:ascii="Times New Roman" w:eastAsia="Times New Roman" w:hAnsi="Times New Roman" w:cs="Times New Roman"/>
                <w:i/>
                <w:iCs/>
                <w:sz w:val="24"/>
                <w:szCs w:val="24"/>
                <w:lang w:eastAsia="pl-PL"/>
              </w:rPr>
              <w:lastRenderedPageBreak/>
              <w:t>całkowita maksymalna wartość w całym okresie obowiązywania umowy ramowej lub dynamicznego systemu zakupów)</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240CC">
              <w:rPr>
                <w:rFonts w:ascii="Times New Roman" w:eastAsia="Times New Roman" w:hAnsi="Times New Roman" w:cs="Times New Roman"/>
                <w:b/>
                <w:bCs/>
                <w:sz w:val="24"/>
                <w:szCs w:val="24"/>
                <w:lang w:eastAsia="pl-PL"/>
              </w:rPr>
              <w:t>Pzp</w:t>
            </w:r>
            <w:proofErr w:type="spellEnd"/>
            <w:r w:rsidRPr="006240CC">
              <w:rPr>
                <w:rFonts w:ascii="Times New Roman" w:eastAsia="Times New Roman" w:hAnsi="Times New Roman" w:cs="Times New Roman"/>
                <w:b/>
                <w:bCs/>
                <w:sz w:val="24"/>
                <w:szCs w:val="24"/>
                <w:lang w:eastAsia="pl-PL"/>
              </w:rPr>
              <w:t xml:space="preserve">: </w:t>
            </w:r>
            <w:r w:rsidRPr="006240CC">
              <w:rPr>
                <w:rFonts w:ascii="Times New Roman" w:eastAsia="Times New Roman" w:hAnsi="Times New Roman" w:cs="Times New Roman"/>
                <w:sz w:val="24"/>
                <w:szCs w:val="24"/>
                <w:lang w:eastAsia="pl-PL"/>
              </w:rPr>
              <w:t xml:space="preserve">nie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data rozpoczęcia: 01/01/2017 data zakończenia: 31/12/2018</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II.9) Informacje dodatkowe: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 xml:space="preserve">III.1) WARUNKI UDZIAŁU W POSTĘPOWANIU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240CC">
              <w:rPr>
                <w:rFonts w:ascii="Times New Roman" w:eastAsia="Times New Roman" w:hAnsi="Times New Roman" w:cs="Times New Roman"/>
                <w:sz w:val="24"/>
                <w:szCs w:val="24"/>
                <w:lang w:eastAsia="pl-PL"/>
              </w:rPr>
              <w:br/>
              <w:t xml:space="preserve">Określenie warunków: Zamawiający uzna, że Wykonawca spełnia ten warunek, jeżeli: a) posiada aktualny wpis do rejestru działalności regulowanej prowadzonego przez Wójta Gminy Dzikowiec w zakresie odbierania odpadów komunalnych od właścicieli nieruchomości; b) posiada aktualne zezwolenie na transport odpadów komunalnych, w tym niebezpiecznych odpadów komunalnych; c) posiada aktualny wpis do rejestru zbierających zużyty sprzęt elektryczny i elektroniczny prowadzonego przez Głównego Inspektora Ochrony Środowiska, </w:t>
            </w:r>
            <w:r w:rsidRPr="006240CC">
              <w:rPr>
                <w:rFonts w:ascii="Times New Roman" w:eastAsia="Times New Roman" w:hAnsi="Times New Roman" w:cs="Times New Roman"/>
                <w:sz w:val="24"/>
                <w:szCs w:val="24"/>
                <w:lang w:eastAsia="pl-PL"/>
              </w:rPr>
              <w:br/>
              <w:t xml:space="preserve">Informacje dodatkowe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III.1.2) Sytuacja finansowa lub ekonomiczna </w:t>
            </w:r>
            <w:r w:rsidRPr="006240CC">
              <w:rPr>
                <w:rFonts w:ascii="Times New Roman" w:eastAsia="Times New Roman" w:hAnsi="Times New Roman" w:cs="Times New Roman"/>
                <w:sz w:val="24"/>
                <w:szCs w:val="24"/>
                <w:lang w:eastAsia="pl-PL"/>
              </w:rPr>
              <w:br/>
              <w:t>Określenie warunków: Zamawiający nie określa warunków udziału w postępowaniu w tym zakresie.</w:t>
            </w:r>
            <w:r w:rsidRPr="006240CC">
              <w:rPr>
                <w:rFonts w:ascii="Times New Roman" w:eastAsia="Times New Roman" w:hAnsi="Times New Roman" w:cs="Times New Roman"/>
                <w:sz w:val="24"/>
                <w:szCs w:val="24"/>
                <w:lang w:eastAsia="pl-PL"/>
              </w:rPr>
              <w:br/>
              <w:t xml:space="preserve">Informacje dodatkowe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III.1.3) Zdolność techniczna lub zawodowa </w:t>
            </w:r>
            <w:r w:rsidRPr="006240CC">
              <w:rPr>
                <w:rFonts w:ascii="Times New Roman" w:eastAsia="Times New Roman" w:hAnsi="Times New Roman" w:cs="Times New Roman"/>
                <w:sz w:val="24"/>
                <w:szCs w:val="24"/>
                <w:lang w:eastAsia="pl-PL"/>
              </w:rPr>
              <w:br/>
              <w:t xml:space="preserve">Określenie warunków: Oceniając zdolność techniczną lub zawodową wykonawcy, zamawiający stawia następujące minimalne warunki dotyczące wykształcenia, kwalifikacji zawodowych, doświadczenia, potencjału technicznego wykonawcy lub osób skierowanych przez wykonawcę do realizacji zamówienia umożliwiające realizację zamówienia na odpowiednim poziomie jakości. a) doświadczenie wykonawcy Zamawiający uzna warunek za spełniony jeżeli wykonawca będzie dysponował: pojazdami w ilości niezbędnej do prawidłowej realizacji umowy, przystosowanymi do odbierania poszczególnych frakcji odpadów, w sposób wykluczający mieszanie się odpadów, w tym : </w:t>
            </w:r>
            <w:r w:rsidRPr="006240CC">
              <w:rPr>
                <w:rFonts w:ascii="Times New Roman" w:eastAsia="Times New Roman" w:hAnsi="Times New Roman" w:cs="Times New Roman"/>
                <w:sz w:val="24"/>
                <w:szCs w:val="24"/>
                <w:lang w:eastAsia="pl-PL"/>
              </w:rPr>
              <w:sym w:font="Symbol" w:char="F0D8"/>
            </w:r>
            <w:r w:rsidRPr="006240CC">
              <w:rPr>
                <w:rFonts w:ascii="Times New Roman" w:eastAsia="Times New Roman" w:hAnsi="Times New Roman" w:cs="Times New Roman"/>
                <w:sz w:val="24"/>
                <w:szCs w:val="24"/>
                <w:lang w:eastAsia="pl-PL"/>
              </w:rPr>
              <w:t xml:space="preserve"> co najmniej dwoma pojazdami przystosowanymi do odbierania zmieszanych odpadów komunalnych, </w:t>
            </w:r>
            <w:r w:rsidRPr="006240CC">
              <w:rPr>
                <w:rFonts w:ascii="Times New Roman" w:eastAsia="Times New Roman" w:hAnsi="Times New Roman" w:cs="Times New Roman"/>
                <w:sz w:val="24"/>
                <w:szCs w:val="24"/>
                <w:lang w:eastAsia="pl-PL"/>
              </w:rPr>
              <w:sym w:font="Symbol" w:char="F0D8"/>
            </w:r>
            <w:r w:rsidRPr="006240CC">
              <w:rPr>
                <w:rFonts w:ascii="Times New Roman" w:eastAsia="Times New Roman" w:hAnsi="Times New Roman" w:cs="Times New Roman"/>
                <w:sz w:val="24"/>
                <w:szCs w:val="24"/>
                <w:lang w:eastAsia="pl-PL"/>
              </w:rPr>
              <w:t xml:space="preserve"> co najmniej dwoma pojazdami przystosowanymi do odbierania selektywnie zbieranych odpadów komunalnych, </w:t>
            </w:r>
            <w:r w:rsidRPr="006240CC">
              <w:rPr>
                <w:rFonts w:ascii="Times New Roman" w:eastAsia="Times New Roman" w:hAnsi="Times New Roman" w:cs="Times New Roman"/>
                <w:sz w:val="24"/>
                <w:szCs w:val="24"/>
                <w:lang w:eastAsia="pl-PL"/>
              </w:rPr>
              <w:sym w:font="Symbol" w:char="F0D8"/>
            </w:r>
            <w:r w:rsidRPr="006240CC">
              <w:rPr>
                <w:rFonts w:ascii="Times New Roman" w:eastAsia="Times New Roman" w:hAnsi="Times New Roman" w:cs="Times New Roman"/>
                <w:sz w:val="24"/>
                <w:szCs w:val="24"/>
                <w:lang w:eastAsia="pl-PL"/>
              </w:rPr>
              <w:t xml:space="preserve"> co najmniej jeden pojazd do odbierania odpadów bez funkcji kompaktującej, </w:t>
            </w:r>
            <w:r w:rsidRPr="006240CC">
              <w:rPr>
                <w:rFonts w:ascii="Times New Roman" w:eastAsia="Times New Roman" w:hAnsi="Times New Roman" w:cs="Times New Roman"/>
                <w:sz w:val="24"/>
                <w:szCs w:val="24"/>
                <w:lang w:eastAsia="pl-PL"/>
              </w:rPr>
              <w:sym w:font="Symbol" w:char="F0D8"/>
            </w:r>
            <w:r w:rsidRPr="006240CC">
              <w:rPr>
                <w:rFonts w:ascii="Times New Roman" w:eastAsia="Times New Roman" w:hAnsi="Times New Roman" w:cs="Times New Roman"/>
                <w:sz w:val="24"/>
                <w:szCs w:val="24"/>
                <w:lang w:eastAsia="pl-PL"/>
              </w:rPr>
              <w:t xml:space="preserve"> wykonawca musi się wykazać doświadczeniem w wykonaniu w okresie ostatnich 3 lat przed upływem terminu składania ofert w postępowaniu, a jeżeli okres prowadzenia działalności jest krótszy – w tym okresie, co najmniej usługą odbioru i zagospodarowania odpadów komunalnych o masie łącznej odbieranych odpadów komunalnych co najmniej – 300 Mg rocznie w ciągu następujących po sobie 12 miesięcy. Przez zamówienia wykonane należy rozumieć: 1) zamówienia rozpoczęte i zakończone w w/w okresie 2) zamówienia zakończone w w/w okresie, których rozpoczęcie mogło nastąpić wcześniej niż w w/w okresie. Przez zamówienia wykonywane należy rozumieć zamówienia które trwają nadal </w:t>
            </w:r>
            <w:r w:rsidRPr="006240CC">
              <w:rPr>
                <w:rFonts w:ascii="Times New Roman" w:eastAsia="Times New Roman" w:hAnsi="Times New Roman" w:cs="Times New Roman"/>
                <w:sz w:val="24"/>
                <w:szCs w:val="24"/>
                <w:lang w:eastAsia="pl-PL"/>
              </w:rPr>
              <w:lastRenderedPageBreak/>
              <w:t xml:space="preserve">(niezakończone) i w ramach których wykonawca do upływu terminu składania ofert wykonał powyższy zakres usług. </w:t>
            </w:r>
            <w:r w:rsidRPr="006240C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240CC">
              <w:rPr>
                <w:rFonts w:ascii="Times New Roman" w:eastAsia="Times New Roman" w:hAnsi="Times New Roman" w:cs="Times New Roman"/>
                <w:sz w:val="24"/>
                <w:szCs w:val="24"/>
                <w:lang w:eastAsia="pl-PL"/>
              </w:rPr>
              <w:br/>
              <w:t xml:space="preserve">Informacje dodatkowe: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 xml:space="preserve">III.2) PODSTAWY WYKLUCZENIA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240CC">
              <w:rPr>
                <w:rFonts w:ascii="Times New Roman" w:eastAsia="Times New Roman" w:hAnsi="Times New Roman" w:cs="Times New Roman"/>
                <w:b/>
                <w:bCs/>
                <w:sz w:val="24"/>
                <w:szCs w:val="24"/>
                <w:lang w:eastAsia="pl-PL"/>
              </w:rPr>
              <w:t>Pzp</w:t>
            </w:r>
            <w:proofErr w:type="spellEnd"/>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240CC">
              <w:rPr>
                <w:rFonts w:ascii="Times New Roman" w:eastAsia="Times New Roman" w:hAnsi="Times New Roman" w:cs="Times New Roman"/>
                <w:b/>
                <w:bCs/>
                <w:sz w:val="24"/>
                <w:szCs w:val="24"/>
                <w:lang w:eastAsia="pl-PL"/>
              </w:rPr>
              <w:t>Pzp</w:t>
            </w:r>
            <w:proofErr w:type="spellEnd"/>
            <w:r w:rsidRPr="006240CC">
              <w:rPr>
                <w:rFonts w:ascii="Times New Roman" w:eastAsia="Times New Roman" w:hAnsi="Times New Roman" w:cs="Times New Roman"/>
                <w:sz w:val="24"/>
                <w:szCs w:val="24"/>
                <w:lang w:eastAsia="pl-PL"/>
              </w:rPr>
              <w:t xml:space="preserve"> tak </w:t>
            </w:r>
            <w:r w:rsidRPr="006240CC">
              <w:rPr>
                <w:rFonts w:ascii="Times New Roman" w:eastAsia="Times New Roman" w:hAnsi="Times New Roman" w:cs="Times New Roman"/>
                <w:sz w:val="24"/>
                <w:szCs w:val="24"/>
                <w:lang w:eastAsia="pl-PL"/>
              </w:rPr>
              <w:br/>
              <w:t xml:space="preserve">Zamawiający przewiduje następujące fakultatywne podstawy wykluczenia: </w:t>
            </w:r>
            <w:r w:rsidRPr="006240CC">
              <w:rPr>
                <w:rFonts w:ascii="Times New Roman" w:eastAsia="Times New Roman" w:hAnsi="Times New Roman" w:cs="Times New Roman"/>
                <w:sz w:val="24"/>
                <w:szCs w:val="24"/>
                <w:lang w:eastAsia="pl-PL"/>
              </w:rPr>
              <w:br/>
              <w:t xml:space="preserve">(podstawa wykluczenia określona w art. 24 ust. 5 pkt 1 ustawy </w:t>
            </w:r>
            <w:proofErr w:type="spellStart"/>
            <w:r w:rsidRPr="006240CC">
              <w:rPr>
                <w:rFonts w:ascii="Times New Roman" w:eastAsia="Times New Roman" w:hAnsi="Times New Roman" w:cs="Times New Roman"/>
                <w:sz w:val="24"/>
                <w:szCs w:val="24"/>
                <w:lang w:eastAsia="pl-PL"/>
              </w:rPr>
              <w:t>Pzp</w:t>
            </w:r>
            <w:proofErr w:type="spellEnd"/>
            <w:r w:rsidRPr="006240CC">
              <w:rPr>
                <w:rFonts w:ascii="Times New Roman" w:eastAsia="Times New Roman" w:hAnsi="Times New Roman" w:cs="Times New Roman"/>
                <w:sz w:val="24"/>
                <w:szCs w:val="24"/>
                <w:lang w:eastAsia="pl-PL"/>
              </w:rPr>
              <w:t xml:space="preserve">) </w:t>
            </w:r>
            <w:r w:rsidRPr="006240CC">
              <w:rPr>
                <w:rFonts w:ascii="Times New Roman" w:eastAsia="Times New Roman" w:hAnsi="Times New Roman" w:cs="Times New Roman"/>
                <w:sz w:val="24"/>
                <w:szCs w:val="24"/>
                <w:lang w:eastAsia="pl-PL"/>
              </w:rPr>
              <w:br/>
              <w:t xml:space="preserve">(podstawa wykluczenia określona w art. 24 ust. 5 pkt 2 ustawy </w:t>
            </w:r>
            <w:proofErr w:type="spellStart"/>
            <w:r w:rsidRPr="006240CC">
              <w:rPr>
                <w:rFonts w:ascii="Times New Roman" w:eastAsia="Times New Roman" w:hAnsi="Times New Roman" w:cs="Times New Roman"/>
                <w:sz w:val="24"/>
                <w:szCs w:val="24"/>
                <w:lang w:eastAsia="pl-PL"/>
              </w:rPr>
              <w:t>Pzp</w:t>
            </w:r>
            <w:proofErr w:type="spellEnd"/>
            <w:r w:rsidRPr="006240CC">
              <w:rPr>
                <w:rFonts w:ascii="Times New Roman" w:eastAsia="Times New Roman" w:hAnsi="Times New Roman" w:cs="Times New Roman"/>
                <w:sz w:val="24"/>
                <w:szCs w:val="24"/>
                <w:lang w:eastAsia="pl-PL"/>
              </w:rPr>
              <w:t xml:space="preserve">) </w:t>
            </w:r>
            <w:r w:rsidRPr="006240CC">
              <w:rPr>
                <w:rFonts w:ascii="Times New Roman" w:eastAsia="Times New Roman" w:hAnsi="Times New Roman" w:cs="Times New Roman"/>
                <w:sz w:val="24"/>
                <w:szCs w:val="24"/>
                <w:lang w:eastAsia="pl-PL"/>
              </w:rPr>
              <w:br/>
              <w:t xml:space="preserve">(podstawa wykluczenia określona w art. 24 ust. 5 pkt 3 ustawy </w:t>
            </w:r>
            <w:proofErr w:type="spellStart"/>
            <w:r w:rsidRPr="006240CC">
              <w:rPr>
                <w:rFonts w:ascii="Times New Roman" w:eastAsia="Times New Roman" w:hAnsi="Times New Roman" w:cs="Times New Roman"/>
                <w:sz w:val="24"/>
                <w:szCs w:val="24"/>
                <w:lang w:eastAsia="pl-PL"/>
              </w:rPr>
              <w:t>Pzp</w:t>
            </w:r>
            <w:proofErr w:type="spellEnd"/>
            <w:r w:rsidRPr="006240CC">
              <w:rPr>
                <w:rFonts w:ascii="Times New Roman" w:eastAsia="Times New Roman" w:hAnsi="Times New Roman" w:cs="Times New Roman"/>
                <w:sz w:val="24"/>
                <w:szCs w:val="24"/>
                <w:lang w:eastAsia="pl-PL"/>
              </w:rPr>
              <w:t xml:space="preserve">) </w:t>
            </w:r>
            <w:r w:rsidRPr="006240CC">
              <w:rPr>
                <w:rFonts w:ascii="Times New Roman" w:eastAsia="Times New Roman" w:hAnsi="Times New Roman" w:cs="Times New Roman"/>
                <w:sz w:val="24"/>
                <w:szCs w:val="24"/>
                <w:lang w:eastAsia="pl-PL"/>
              </w:rPr>
              <w:br/>
              <w:t xml:space="preserve">(podstawa wykluczenia określona w art. 24 ust. 5 pkt 4 ustawy </w:t>
            </w:r>
            <w:proofErr w:type="spellStart"/>
            <w:r w:rsidRPr="006240CC">
              <w:rPr>
                <w:rFonts w:ascii="Times New Roman" w:eastAsia="Times New Roman" w:hAnsi="Times New Roman" w:cs="Times New Roman"/>
                <w:sz w:val="24"/>
                <w:szCs w:val="24"/>
                <w:lang w:eastAsia="pl-PL"/>
              </w:rPr>
              <w:t>Pzp</w:t>
            </w:r>
            <w:proofErr w:type="spellEnd"/>
            <w:r w:rsidRPr="006240CC">
              <w:rPr>
                <w:rFonts w:ascii="Times New Roman" w:eastAsia="Times New Roman" w:hAnsi="Times New Roman" w:cs="Times New Roman"/>
                <w:sz w:val="24"/>
                <w:szCs w:val="24"/>
                <w:lang w:eastAsia="pl-PL"/>
              </w:rPr>
              <w:t xml:space="preserve">) </w:t>
            </w:r>
            <w:r w:rsidRPr="006240CC">
              <w:rPr>
                <w:rFonts w:ascii="Times New Roman" w:eastAsia="Times New Roman" w:hAnsi="Times New Roman" w:cs="Times New Roman"/>
                <w:sz w:val="24"/>
                <w:szCs w:val="24"/>
                <w:lang w:eastAsia="pl-PL"/>
              </w:rPr>
              <w:br/>
              <w:t xml:space="preserve">(podstawa wykluczenia określona w art. 24 ust. 5 pkt 5 ustawy </w:t>
            </w:r>
            <w:proofErr w:type="spellStart"/>
            <w:r w:rsidRPr="006240CC">
              <w:rPr>
                <w:rFonts w:ascii="Times New Roman" w:eastAsia="Times New Roman" w:hAnsi="Times New Roman" w:cs="Times New Roman"/>
                <w:sz w:val="24"/>
                <w:szCs w:val="24"/>
                <w:lang w:eastAsia="pl-PL"/>
              </w:rPr>
              <w:t>Pzp</w:t>
            </w:r>
            <w:proofErr w:type="spellEnd"/>
            <w:r w:rsidRPr="006240CC">
              <w:rPr>
                <w:rFonts w:ascii="Times New Roman" w:eastAsia="Times New Roman" w:hAnsi="Times New Roman" w:cs="Times New Roman"/>
                <w:sz w:val="24"/>
                <w:szCs w:val="24"/>
                <w:lang w:eastAsia="pl-PL"/>
              </w:rPr>
              <w:t xml:space="preserve">) </w:t>
            </w:r>
            <w:r w:rsidRPr="006240CC">
              <w:rPr>
                <w:rFonts w:ascii="Times New Roman" w:eastAsia="Times New Roman" w:hAnsi="Times New Roman" w:cs="Times New Roman"/>
                <w:sz w:val="24"/>
                <w:szCs w:val="24"/>
                <w:lang w:eastAsia="pl-PL"/>
              </w:rPr>
              <w:br/>
              <w:t xml:space="preserve">(podstawa wykluczenia określona w art. 24 ust. 5 pkt 6 ustawy </w:t>
            </w:r>
            <w:proofErr w:type="spellStart"/>
            <w:r w:rsidRPr="006240CC">
              <w:rPr>
                <w:rFonts w:ascii="Times New Roman" w:eastAsia="Times New Roman" w:hAnsi="Times New Roman" w:cs="Times New Roman"/>
                <w:sz w:val="24"/>
                <w:szCs w:val="24"/>
                <w:lang w:eastAsia="pl-PL"/>
              </w:rPr>
              <w:t>Pzp</w:t>
            </w:r>
            <w:proofErr w:type="spellEnd"/>
            <w:r w:rsidRPr="006240CC">
              <w:rPr>
                <w:rFonts w:ascii="Times New Roman" w:eastAsia="Times New Roman" w:hAnsi="Times New Roman" w:cs="Times New Roman"/>
                <w:sz w:val="24"/>
                <w:szCs w:val="24"/>
                <w:lang w:eastAsia="pl-PL"/>
              </w:rPr>
              <w:t xml:space="preserve">) </w:t>
            </w:r>
            <w:r w:rsidRPr="006240CC">
              <w:rPr>
                <w:rFonts w:ascii="Times New Roman" w:eastAsia="Times New Roman" w:hAnsi="Times New Roman" w:cs="Times New Roman"/>
                <w:sz w:val="24"/>
                <w:szCs w:val="24"/>
                <w:lang w:eastAsia="pl-PL"/>
              </w:rPr>
              <w:br/>
              <w:t xml:space="preserve">(podstawa wykluczenia określona w art. 24 ust. 5 pkt 7 ustawy </w:t>
            </w:r>
            <w:proofErr w:type="spellStart"/>
            <w:r w:rsidRPr="006240CC">
              <w:rPr>
                <w:rFonts w:ascii="Times New Roman" w:eastAsia="Times New Roman" w:hAnsi="Times New Roman" w:cs="Times New Roman"/>
                <w:sz w:val="24"/>
                <w:szCs w:val="24"/>
                <w:lang w:eastAsia="pl-PL"/>
              </w:rPr>
              <w:t>Pzp</w:t>
            </w:r>
            <w:proofErr w:type="spellEnd"/>
            <w:r w:rsidRPr="006240CC">
              <w:rPr>
                <w:rFonts w:ascii="Times New Roman" w:eastAsia="Times New Roman" w:hAnsi="Times New Roman" w:cs="Times New Roman"/>
                <w:sz w:val="24"/>
                <w:szCs w:val="24"/>
                <w:lang w:eastAsia="pl-PL"/>
              </w:rPr>
              <w:t xml:space="preserve">) </w:t>
            </w:r>
            <w:r w:rsidRPr="006240CC">
              <w:rPr>
                <w:rFonts w:ascii="Times New Roman" w:eastAsia="Times New Roman" w:hAnsi="Times New Roman" w:cs="Times New Roman"/>
                <w:sz w:val="24"/>
                <w:szCs w:val="24"/>
                <w:lang w:eastAsia="pl-PL"/>
              </w:rPr>
              <w:br/>
              <w:t xml:space="preserve">(podstawa wykluczenia określona w art. 24 ust. 5 pkt 8 ustawy </w:t>
            </w:r>
            <w:proofErr w:type="spellStart"/>
            <w:r w:rsidRPr="006240CC">
              <w:rPr>
                <w:rFonts w:ascii="Times New Roman" w:eastAsia="Times New Roman" w:hAnsi="Times New Roman" w:cs="Times New Roman"/>
                <w:sz w:val="24"/>
                <w:szCs w:val="24"/>
                <w:lang w:eastAsia="pl-PL"/>
              </w:rPr>
              <w:t>Pzp</w:t>
            </w:r>
            <w:proofErr w:type="spellEnd"/>
            <w:r w:rsidRPr="006240CC">
              <w:rPr>
                <w:rFonts w:ascii="Times New Roman" w:eastAsia="Times New Roman" w:hAnsi="Times New Roman" w:cs="Times New Roman"/>
                <w:sz w:val="24"/>
                <w:szCs w:val="24"/>
                <w:lang w:eastAsia="pl-PL"/>
              </w:rPr>
              <w:t xml:space="preserve">)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240CC">
              <w:rPr>
                <w:rFonts w:ascii="Times New Roman" w:eastAsia="Times New Roman" w:hAnsi="Times New Roman" w:cs="Times New Roman"/>
                <w:sz w:val="24"/>
                <w:szCs w:val="24"/>
                <w:lang w:eastAsia="pl-PL"/>
              </w:rPr>
              <w:br/>
              <w:t xml:space="preserve">tak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Oświadczenie o spełnianiu kryteriów selekcji </w:t>
            </w:r>
            <w:r w:rsidRPr="006240CC">
              <w:rPr>
                <w:rFonts w:ascii="Times New Roman" w:eastAsia="Times New Roman" w:hAnsi="Times New Roman" w:cs="Times New Roman"/>
                <w:sz w:val="24"/>
                <w:szCs w:val="24"/>
                <w:lang w:eastAsia="pl-PL"/>
              </w:rPr>
              <w:br/>
              <w:t xml:space="preserve">nie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III.5.1) W ZAKRESIE SPEŁNIANIA WARUNKÓW UDZIAŁU W POSTĘPOWANIU:</w:t>
            </w:r>
            <w:r w:rsidRPr="006240CC">
              <w:rPr>
                <w:rFonts w:ascii="Times New Roman" w:eastAsia="Times New Roman" w:hAnsi="Times New Roman" w:cs="Times New Roman"/>
                <w:sz w:val="24"/>
                <w:szCs w:val="24"/>
                <w:lang w:eastAsia="pl-PL"/>
              </w:rPr>
              <w:br/>
              <w:t xml:space="preserve">1. W celu potwierdzenia spełniania przez wykonawcę warunków udziału w postępowaniu dotyczących kompetencji lub uprawnień do prowadzenia określonej działalności zawodowej zamawiający żąda dokumentów potwierdzających posiadanie takich kompetencji lub uprawnień, o ile obowiązek ich posiadania wynika z odrębnych przepisów, w szczególności: a) koncesji, zezwolenia, licencji lub dokumentu potwierdzającego, że wykonawca jest wpisany do jednego z rejestrów zawodowych lub handlowych, prowadzonych w państwie członkowskim </w:t>
            </w:r>
            <w:r w:rsidRPr="006240CC">
              <w:rPr>
                <w:rFonts w:ascii="Times New Roman" w:eastAsia="Times New Roman" w:hAnsi="Times New Roman" w:cs="Times New Roman"/>
                <w:sz w:val="24"/>
                <w:szCs w:val="24"/>
                <w:lang w:eastAsia="pl-PL"/>
              </w:rPr>
              <w:lastRenderedPageBreak/>
              <w:t xml:space="preserve">Unii Europejskiej, w którym wykonawca ma siedzibę lub miejsce zamieszkania, - aktualny wpis do rejestru działalności regulowanej prowadzonego przez Wójta Gminy Dzikowiec w zakresie odbierania odpadów komunalnych od właścicieli nieruchomości; - aktualne zezwolenie na transport odpadów komunalnych, w tym niebezpiecznych odpadów komunalnych; - aktualny wpis do rejestru zbierających zużyty sprzęt elektryczny i elektroniczny prowadzonego przez Głównego Inspektora Ochrony Środowiska, 2. W celu potwierdzenia spełniania przez wykonawcę warunków udziału w postępowaniu dotyczących zdolności technicznej lub zawodowej zamawiający żąda następujących dokumentów: a)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Załącznik Nr 5 do SIWZ. b) wykazu narzędzi, wyposażenia zakładu lub urządzeń technicznych dostępnych wykonawcy w celu wykonania zamówienia publicznego wraz z informacją o podstawie do dysponowania tymi zasobami. Złącznik nr 6 do SIWZ. .8. Jeżeli wykonawca ma siedzibę lub miejsce zamieszkania poza terytorium Rzeczypospolitej Polskiej, zamiast dokumentów, o których mowa w pkt 7.7.3. lit. a) SIWZ: składa dokument lub dokumenty wystawione w kraju, w którym wykonawca ma siedzibę lub miejsce zamieszkania, potwierdzające odpowiednio, że nie otwarto jego likwidacji ani nie ogłoszono upadłości – wystawione nie wcześniej niż 6 miesięcy przed upływem terminu składania ofert. 7.9.Jeżeli w kraju, w którym wykonawca ma siedzibę lub miejsce zamieszkania lub miejsce zamieszkania ma osoba, której dokument dotyczy, nie wydaje się dokumentów, o których mowa w pkt 7.8,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7.11.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w:t>
            </w:r>
            <w:r w:rsidRPr="006240CC">
              <w:rPr>
                <w:rFonts w:ascii="Times New Roman" w:eastAsia="Times New Roman" w:hAnsi="Times New Roman" w:cs="Times New Roman"/>
                <w:sz w:val="24"/>
                <w:szCs w:val="24"/>
                <w:lang w:eastAsia="pl-PL"/>
              </w:rPr>
              <w:lastRenderedPageBreak/>
              <w:t xml:space="preserve">lutego 2005 r. o informatyzacji działalności podmiotów realizujących zadania publiczne (Dz. U. z 2014 r. poz. 1114 oraz z 2016 r. poz. 352). 7.12. W przypadku wskazania przez wykonawcę dostępności oświadczeń lub dokumentów, o których mowa w pkt 7.8 powyżej, w formie elektronicznej pod określonymi adresami internetowymi ogólnodostępnych i bezpłatnych baz danych, zamawiający pobiera samodzielnie z tych baz danych wskazane przez wykonawcę oświadczenia lub dokumenty. 7.13.W przypadku wskazania przez wykonawcę oświadczeń lub dokumentów, o których mowa w pkt. 7.7 i 7.8 powyżej,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7.14.Jeżeli wykonawca nie złożył oświadczenia, o którym mowa w art. 25a ust. 1 ustawy PZP, oświadczeń lub dokumentów potwierdzających okoliczności, o których mowa w art. 25 ust. 1ustawy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7.15.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7.16. Nie podlega poprawie niewłaściwie przyjęta stawka VAT. W przypadku, gdy zamawiający nie określił w SIWZ konkretnej stawki podatku VAT, przyjęcie w ofercie nieprawidłowej stawki podatku VAT jest równoznaczne z błędem w obliczeniu zawartej w ofercie ceny, polegającym na wadliwym doborze przez wykonawcę elementu mającego wpływ na obliczenie wysokości zaoferowanej ceny. W takim przypadku znajduje zastosowanie art. 89 ust. 1 pkt 6 ustawy PZP skutkujący odrzuceniem oferty zawierającej cenę obliczoną z zastosowaniem nieprawidłowej stawki podatku VAT (błąd w obliczeniu ceny). 7.17.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publikacji ogłoszenia w Biuletynie Zamówień Publicznych/DUUE.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III.5.2) W ZAKRESIE KRYTERIÓW SELEKCJI:</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 xml:space="preserve">III.7) INNE DOKUMENTY NIE WYMIENIONE W pkt III.3) - III.6)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Do wypełnionego i podpisanego formularza oferty należy dołączyć: a) aktualne na dzień składnia ofert oświadczenie dotyczące przesłanek wykluczenia z postępowania – załącznik nr 2 SIWZ, b) aktualne na dzień składnia ofert oświadczenie o spełnianiu warunków udziału w postępowaniu- załącznik nr 3 SIWZ , c) dowód wniesienia wadium, d) zobowiązanie do udostępnieniu (w przypadku powoływania się na zasoby podmiotu trzeciego) e) pełnomocnictwo do podpisania oferty (oryginał lub kopia potwierdzona za zgodność z oryginałem przez notariusza) względnie do </w:t>
            </w:r>
            <w:r w:rsidRPr="006240CC">
              <w:rPr>
                <w:rFonts w:ascii="Times New Roman" w:eastAsia="Times New Roman" w:hAnsi="Times New Roman" w:cs="Times New Roman"/>
                <w:sz w:val="24"/>
                <w:szCs w:val="24"/>
                <w:lang w:eastAsia="pl-PL"/>
              </w:rPr>
              <w:lastRenderedPageBreak/>
              <w:t xml:space="preserve">podpisania innych dokumentów składanych wraz z ofertą, o ile prawo do ich podpisania nie wynika z innych dokumentów złożonych wraz z ofertą f) w przypadku składania oferty przez wykonawców wspólnie ubiegających się o udzielenie zamówienia oferty wspólnej do oferty należy dołączyć stosowne pełnomocnictwo reprezentowania wszystkich Wykonawców wspólnie ubiegających się o udzielenie zamówienia, ewentualnie umowę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Informacja dla wykonawców wspólnie ubiegających się o udzielenie zamówienia (spółki cywilne/konsorcja) 1) Wykonawcy mogą wspólnie ubiegać się o udzielenie zamówienia. W takim przypadku Wykonawcy ustanawiają pełnomocnika do reprezentowania ich w postępowaniu o udzielenie zamówienia albo do reprezentowania w postępowaniu i zawarcia umowy w sprawie zamówienia publicznego. Do oferty należy dołączyć stosowne pełnomocnictwo, podpisane przez osoby upoważnione do składania oświadczeń woli każdego ze wspólników. 2) Wspólnicy ponoszą solidarną odpowiedzialność za niewykonanie lub nienależyte wykonanie zamówienia, określoną w art. 366 Kodeksu cywilnego. 3) Wszelka korespondencja będzie prowadzona wyłącznie z pełnomocnikiem. 4) W przypadku Wykonawców wspólnie ubiegających się o udzielenie zamówienia (spółki cywilne, konsorcja), żaden z nich nie może podlegać wykluczeniu z powodu niespełnienia warunków o których mowa w art. 24 ust. 1 ustawy </w:t>
            </w:r>
            <w:proofErr w:type="spellStart"/>
            <w:r w:rsidRPr="006240CC">
              <w:rPr>
                <w:rFonts w:ascii="Times New Roman" w:eastAsia="Times New Roman" w:hAnsi="Times New Roman" w:cs="Times New Roman"/>
                <w:sz w:val="24"/>
                <w:szCs w:val="24"/>
                <w:lang w:eastAsia="pl-PL"/>
              </w:rPr>
              <w:t>Pzp</w:t>
            </w:r>
            <w:proofErr w:type="spellEnd"/>
            <w:r w:rsidRPr="006240CC">
              <w:rPr>
                <w:rFonts w:ascii="Times New Roman" w:eastAsia="Times New Roman" w:hAnsi="Times New Roman" w:cs="Times New Roman"/>
                <w:sz w:val="24"/>
                <w:szCs w:val="24"/>
                <w:lang w:eastAsia="pl-PL"/>
              </w:rPr>
              <w:t xml:space="preserve">, natomiast warunki określone w pkt 5.2 SIWZ muszą spełniać łącznie. 5) W przypadku wspólnego ubiegania się o zamówienie przez wykonawców oświadczenie o przynależności lub braku przynależności do tej samej grupy kapitałowej składa każdy z wykonawców. 6) W przypadku wspólnego ubiegania się o zamówienie przez wykonawców, oświadczenie, o którym mowa w pkt 6.1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7) W przypadku wspólnego ubiegania się o zamówienie przez Wykonawców są oni zobowiązani na wezwanie Zamawiającego złożyć dokumenty i oświadczenia, o których mowa w pkt 7.7 SIWZ, przy czym: 1) Dokumenty i oświadczenia o których mowa w pkt 7.7.1. składa odpowiednio Wykonawca, który wykazuje spełnianie warunku, w zakresie i na zasadach opisanych w pkt 5.2 2) Dokumenty i oświadczenia o których mowa w pkt 7.7.2 składa każdy z nich. 8) Wyżej wymienione dokumenty składane są w oryginale lub kopii poświadczonej za zgodność z oryginałem przez Wykonawcę. 9) Jeżeli oferta wykonawców wspólnie ubiegających się o udzielenie zamówienia, została wybrana, przed zawarciem umowy w sprawie zamówienia publicznego pod rygorem stwierdzenia uchylania się od podpisania umowy należy przedłożyć Zamawiającemu umowę regulującą współpracę tych wykonawców.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u w:val="single"/>
                <w:lang w:eastAsia="pl-PL"/>
              </w:rPr>
              <w:t xml:space="preserve">SEKCJA IV: PROCEDURA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 xml:space="preserve">IV.1) OPIS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IV.1.1) Tryb udzielenia zamówienia: </w:t>
            </w:r>
            <w:r w:rsidRPr="006240CC">
              <w:rPr>
                <w:rFonts w:ascii="Times New Roman" w:eastAsia="Times New Roman" w:hAnsi="Times New Roman" w:cs="Times New Roman"/>
                <w:sz w:val="24"/>
                <w:szCs w:val="24"/>
                <w:lang w:eastAsia="pl-PL"/>
              </w:rPr>
              <w:t xml:space="preserve">przetarg nieograniczony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IV.1.2) Zamawiający żąda wniesienia wadium:</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tak, </w:t>
            </w:r>
            <w:r w:rsidRPr="006240CC">
              <w:rPr>
                <w:rFonts w:ascii="Times New Roman" w:eastAsia="Times New Roman" w:hAnsi="Times New Roman" w:cs="Times New Roman"/>
                <w:sz w:val="24"/>
                <w:szCs w:val="24"/>
                <w:lang w:eastAsia="pl-PL"/>
              </w:rPr>
              <w:br/>
              <w:t xml:space="preserve">Informacja na temat wadium </w:t>
            </w:r>
            <w:r w:rsidRPr="006240CC">
              <w:rPr>
                <w:rFonts w:ascii="Times New Roman" w:eastAsia="Times New Roman" w:hAnsi="Times New Roman" w:cs="Times New Roman"/>
                <w:sz w:val="24"/>
                <w:szCs w:val="24"/>
                <w:lang w:eastAsia="pl-PL"/>
              </w:rPr>
              <w:br/>
              <w:t xml:space="preserve">9.1. Zamawiający żąda od wykonawców wniesienia wadium przed upływem </w:t>
            </w:r>
            <w:r w:rsidRPr="006240CC">
              <w:rPr>
                <w:rFonts w:ascii="Times New Roman" w:eastAsia="Times New Roman" w:hAnsi="Times New Roman" w:cs="Times New Roman"/>
                <w:sz w:val="24"/>
                <w:szCs w:val="24"/>
                <w:lang w:eastAsia="pl-PL"/>
              </w:rPr>
              <w:lastRenderedPageBreak/>
              <w:t xml:space="preserve">terminu składania ofert w kwocie: 5.000,00 PLN. 9.2. W zależności od wyboru wykonawcy, wadium może być wnoszone w jednej lub kilku następujących formach : a) pieniądzu Wadium wniesione w pieniądzu należy wpłacić przelewem na następujący rachunek Zamawiającego: Bank Spółdzielczy w Głogowie </w:t>
            </w:r>
            <w:proofErr w:type="spellStart"/>
            <w:r w:rsidRPr="006240CC">
              <w:rPr>
                <w:rFonts w:ascii="Times New Roman" w:eastAsia="Times New Roman" w:hAnsi="Times New Roman" w:cs="Times New Roman"/>
                <w:sz w:val="24"/>
                <w:szCs w:val="24"/>
                <w:lang w:eastAsia="pl-PL"/>
              </w:rPr>
              <w:t>Młp</w:t>
            </w:r>
            <w:proofErr w:type="spellEnd"/>
            <w:r w:rsidRPr="006240CC">
              <w:rPr>
                <w:rFonts w:ascii="Times New Roman" w:eastAsia="Times New Roman" w:hAnsi="Times New Roman" w:cs="Times New Roman"/>
                <w:sz w:val="24"/>
                <w:szCs w:val="24"/>
                <w:lang w:eastAsia="pl-PL"/>
              </w:rPr>
              <w:t xml:space="preserve">. Oddział Dzikowiec nr rachunku 27 9195 10102003 3000 0039 0006 w terminie zapewniającym jego wpływ na wskazane konto przed terminem składania ofert. Kopię dowodu wpłaty należy dołączyć do oferty. Za termin wniesienia wadium w pieniądzu uważa się datę uznania środków na koncie Zamawiającego. b) poręczeniach bankowych lub poręczeniach spółdzielczej kasy oszczędnościowo-kredytowej, z tym że poręczenie kasy jest zawsze poręczeniem pieniężnym (oryginał); c) gwarancjach bankowych (oryginał); d) gwarancjach ubezpieczeniowych (oryginał); e) poręczeniach udzielanych przez podmioty, o których mowa w art.6b ust.5 pkt 2 ustawy z dnia 9 listopada 2000 r. o utworzeniu Polskiej Agencji Rozwoju Przedsiębiorczości (Dz. U. z 2016r. poz. 359 tj.) (oryginał). Wadium wnoszone w formie gwarancji/poręczenia musi: - obejmować cały okres związania ofertą. - obejmować odpowiedzialność za wszystkie przypadki powodujące utratę wadium przez Wykonawcę, określone w art. 46 ust. 4a i 5 ustawy </w:t>
            </w:r>
            <w:proofErr w:type="spellStart"/>
            <w:r w:rsidRPr="006240CC">
              <w:rPr>
                <w:rFonts w:ascii="Times New Roman" w:eastAsia="Times New Roman" w:hAnsi="Times New Roman" w:cs="Times New Roman"/>
                <w:sz w:val="24"/>
                <w:szCs w:val="24"/>
                <w:lang w:eastAsia="pl-PL"/>
              </w:rPr>
              <w:t>Pzp</w:t>
            </w:r>
            <w:proofErr w:type="spellEnd"/>
            <w:r w:rsidRPr="006240CC">
              <w:rPr>
                <w:rFonts w:ascii="Times New Roman" w:eastAsia="Times New Roman" w:hAnsi="Times New Roman" w:cs="Times New Roman"/>
                <w:sz w:val="24"/>
                <w:szCs w:val="24"/>
                <w:lang w:eastAsia="pl-PL"/>
              </w:rPr>
              <w:t xml:space="preserve">. Dokument w formie gwarancji /poręczenia winien zawierać stwierdzenie, że na każde pisemne żądanie zamawiającego wzywające do zapłaty wadium, zgodnie z warunkami przetargu następuje jego bezwarunkowa wypłata w pełnej wysokości bez jakichkolwiek zastrzeżeń. Gwarancja/poręczenie musi być podpisane przez upoważnionego (upełnomocnionego) przedstawiciela Gwaranta/Poręczyciela. Podpis winien być sporządzony w sposób umożliwiający jego identyfikację np. złożony wraz z imienną pieczątką lub czytelny (z podaniem imienia i nazwiska). 9.3.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6240CC">
              <w:rPr>
                <w:rFonts w:ascii="Times New Roman" w:eastAsia="Times New Roman" w:hAnsi="Times New Roman" w:cs="Times New Roman"/>
                <w:sz w:val="24"/>
                <w:szCs w:val="24"/>
                <w:lang w:eastAsia="pl-PL"/>
              </w:rPr>
              <w:t>Pzp</w:t>
            </w:r>
            <w:proofErr w:type="spellEnd"/>
            <w:r w:rsidRPr="006240CC">
              <w:rPr>
                <w:rFonts w:ascii="Times New Roman" w:eastAsia="Times New Roman" w:hAnsi="Times New Roman" w:cs="Times New Roman"/>
                <w:sz w:val="24"/>
                <w:szCs w:val="24"/>
                <w:lang w:eastAsia="pl-PL"/>
              </w:rPr>
              <w:t xml:space="preserve">. 9.4. Zgodnie z w/w artykułem Zamawiający zatrzymuje wadium wraz z odsetkami, jeżeli wykonawca w odpowiedzi na wezwanie, o którym mowa w art. 26 ust. 3 i 3a ustawy </w:t>
            </w:r>
            <w:proofErr w:type="spellStart"/>
            <w:r w:rsidRPr="006240CC">
              <w:rPr>
                <w:rFonts w:ascii="Times New Roman" w:eastAsia="Times New Roman" w:hAnsi="Times New Roman" w:cs="Times New Roman"/>
                <w:sz w:val="24"/>
                <w:szCs w:val="24"/>
                <w:lang w:eastAsia="pl-PL"/>
              </w:rPr>
              <w:t>Pzp</w:t>
            </w:r>
            <w:proofErr w:type="spellEnd"/>
            <w:r w:rsidRPr="006240CC">
              <w:rPr>
                <w:rFonts w:ascii="Times New Roman" w:eastAsia="Times New Roman" w:hAnsi="Times New Roman" w:cs="Times New Roman"/>
                <w:sz w:val="24"/>
                <w:szCs w:val="24"/>
                <w:lang w:eastAsia="pl-PL"/>
              </w:rPr>
              <w:t xml:space="preserve"> , z przyczyn leżących po jego stronie, nie złożył oświadczeń lub dokumentów potwierdzających okoliczności, o których mowa w art. 25 ust. 1 ustawy </w:t>
            </w:r>
            <w:proofErr w:type="spellStart"/>
            <w:r w:rsidRPr="006240CC">
              <w:rPr>
                <w:rFonts w:ascii="Times New Roman" w:eastAsia="Times New Roman" w:hAnsi="Times New Roman" w:cs="Times New Roman"/>
                <w:sz w:val="24"/>
                <w:szCs w:val="24"/>
                <w:lang w:eastAsia="pl-PL"/>
              </w:rPr>
              <w:t>Pzp</w:t>
            </w:r>
            <w:proofErr w:type="spellEnd"/>
            <w:r w:rsidRPr="006240CC">
              <w:rPr>
                <w:rFonts w:ascii="Times New Roman" w:eastAsia="Times New Roman" w:hAnsi="Times New Roman" w:cs="Times New Roman"/>
                <w:sz w:val="24"/>
                <w:szCs w:val="24"/>
                <w:lang w:eastAsia="pl-PL"/>
              </w:rPr>
              <w:t xml:space="preserve"> , oświadczenia, o którym mowa w art. 25a ust. 1 ustawy </w:t>
            </w:r>
            <w:proofErr w:type="spellStart"/>
            <w:r w:rsidRPr="006240CC">
              <w:rPr>
                <w:rFonts w:ascii="Times New Roman" w:eastAsia="Times New Roman" w:hAnsi="Times New Roman" w:cs="Times New Roman"/>
                <w:sz w:val="24"/>
                <w:szCs w:val="24"/>
                <w:lang w:eastAsia="pl-PL"/>
              </w:rPr>
              <w:t>Pzp</w:t>
            </w:r>
            <w:proofErr w:type="spellEnd"/>
            <w:r w:rsidRPr="006240CC">
              <w:rPr>
                <w:rFonts w:ascii="Times New Roman" w:eastAsia="Times New Roman" w:hAnsi="Times New Roman" w:cs="Times New Roman"/>
                <w:sz w:val="24"/>
                <w:szCs w:val="24"/>
                <w:lang w:eastAsia="pl-PL"/>
              </w:rPr>
              <w:t xml:space="preserve"> , pełnomocnictw lub nie wyraził zgody na poprawienie omyłki, o której mowa w art. 87 ust. 2 pkt 3 ustawy </w:t>
            </w:r>
            <w:proofErr w:type="spellStart"/>
            <w:r w:rsidRPr="006240CC">
              <w:rPr>
                <w:rFonts w:ascii="Times New Roman" w:eastAsia="Times New Roman" w:hAnsi="Times New Roman" w:cs="Times New Roman"/>
                <w:sz w:val="24"/>
                <w:szCs w:val="24"/>
                <w:lang w:eastAsia="pl-PL"/>
              </w:rPr>
              <w:t>Pzp</w:t>
            </w:r>
            <w:proofErr w:type="spellEnd"/>
            <w:r w:rsidRPr="006240CC">
              <w:rPr>
                <w:rFonts w:ascii="Times New Roman" w:eastAsia="Times New Roman" w:hAnsi="Times New Roman" w:cs="Times New Roman"/>
                <w:sz w:val="24"/>
                <w:szCs w:val="24"/>
                <w:lang w:eastAsia="pl-PL"/>
              </w:rPr>
              <w:t xml:space="preserve"> , co spowodowało brak możliwości wybrania oferty złożonej przez wykonawcę jako najkorzystniejszej. 9.5. Wykonawcy, którego oferta została wybrana jako najkorzystniejsza, zamawiający zwraca wadium niezwłocznie po zawarciu umowy w sprawie zamówienia publicznego oraz wniesieniu zabezpieczenia należytego wykonania umowy, jeżeli jego wniesienia żądano. 9.6. Zamawiający zwraca niezwłocznie wadium na wniosek wykonawcy, który wycofał ofertę przed upływem terminu składania ofert. 9.7. 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 9.8.Jeżeli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9.9. W przypadku, gdy Wykonawca nie poda numeru konta na które należy zwrócić wadium wniesione w pieniądzu, Zamawiający dokona zwrotu wadium na konto, z którego dokonano wniesienia wadium. Wykonawca </w:t>
            </w:r>
            <w:r w:rsidRPr="006240CC">
              <w:rPr>
                <w:rFonts w:ascii="Times New Roman" w:eastAsia="Times New Roman" w:hAnsi="Times New Roman" w:cs="Times New Roman"/>
                <w:sz w:val="24"/>
                <w:szCs w:val="24"/>
                <w:lang w:eastAsia="pl-PL"/>
              </w:rPr>
              <w:lastRenderedPageBreak/>
              <w:t xml:space="preserve">ponosi pełne konsekwencje wynikające z pomyłek w podaniu numeru konta. 9.10.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IV.1.3) Przewiduje się udzielenie zaliczek na poczet wykonania zamówienia:</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nie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nie </w:t>
            </w:r>
            <w:r w:rsidRPr="006240C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240CC">
              <w:rPr>
                <w:rFonts w:ascii="Times New Roman" w:eastAsia="Times New Roman" w:hAnsi="Times New Roman" w:cs="Times New Roman"/>
                <w:sz w:val="24"/>
                <w:szCs w:val="24"/>
                <w:lang w:eastAsia="pl-PL"/>
              </w:rPr>
              <w:br/>
              <w:t xml:space="preserve">nie </w:t>
            </w:r>
            <w:r w:rsidRPr="006240CC">
              <w:rPr>
                <w:rFonts w:ascii="Times New Roman" w:eastAsia="Times New Roman" w:hAnsi="Times New Roman" w:cs="Times New Roman"/>
                <w:sz w:val="24"/>
                <w:szCs w:val="24"/>
                <w:lang w:eastAsia="pl-PL"/>
              </w:rPr>
              <w:br/>
              <w:t xml:space="preserve">Informacje dodatkowe: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IV.1.5.) Wymaga się złożenia oferty wariantowej: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nie </w:t>
            </w:r>
            <w:r w:rsidRPr="006240CC">
              <w:rPr>
                <w:rFonts w:ascii="Times New Roman" w:eastAsia="Times New Roman" w:hAnsi="Times New Roman" w:cs="Times New Roman"/>
                <w:sz w:val="24"/>
                <w:szCs w:val="24"/>
                <w:lang w:eastAsia="pl-PL"/>
              </w:rPr>
              <w:br/>
              <w:t xml:space="preserve">Dopuszcza się złożenie oferty wariantowej </w:t>
            </w:r>
            <w:r w:rsidRPr="006240CC">
              <w:rPr>
                <w:rFonts w:ascii="Times New Roman" w:eastAsia="Times New Roman" w:hAnsi="Times New Roman" w:cs="Times New Roman"/>
                <w:sz w:val="24"/>
                <w:szCs w:val="24"/>
                <w:lang w:eastAsia="pl-PL"/>
              </w:rPr>
              <w:br/>
              <w:t xml:space="preserve">nie </w:t>
            </w:r>
            <w:r w:rsidRPr="006240C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240CC">
              <w:rPr>
                <w:rFonts w:ascii="Times New Roman" w:eastAsia="Times New Roman" w:hAnsi="Times New Roman" w:cs="Times New Roman"/>
                <w:sz w:val="24"/>
                <w:szCs w:val="24"/>
                <w:lang w:eastAsia="pl-PL"/>
              </w:rPr>
              <w:br/>
              <w:t xml:space="preserve">nie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Liczba wykonawców  </w:t>
            </w:r>
            <w:r w:rsidRPr="006240CC">
              <w:rPr>
                <w:rFonts w:ascii="Times New Roman" w:eastAsia="Times New Roman" w:hAnsi="Times New Roman" w:cs="Times New Roman"/>
                <w:sz w:val="24"/>
                <w:szCs w:val="24"/>
                <w:lang w:eastAsia="pl-PL"/>
              </w:rPr>
              <w:br/>
              <w:t xml:space="preserve">Przewidywana minimalna liczba wykonawców </w:t>
            </w:r>
            <w:r w:rsidRPr="006240CC">
              <w:rPr>
                <w:rFonts w:ascii="Times New Roman" w:eastAsia="Times New Roman" w:hAnsi="Times New Roman" w:cs="Times New Roman"/>
                <w:sz w:val="24"/>
                <w:szCs w:val="24"/>
                <w:lang w:eastAsia="pl-PL"/>
              </w:rPr>
              <w:br/>
              <w:t>Maksymalna liczba wykonawców  </w:t>
            </w:r>
            <w:r w:rsidRPr="006240CC">
              <w:rPr>
                <w:rFonts w:ascii="Times New Roman" w:eastAsia="Times New Roman" w:hAnsi="Times New Roman" w:cs="Times New Roman"/>
                <w:sz w:val="24"/>
                <w:szCs w:val="24"/>
                <w:lang w:eastAsia="pl-PL"/>
              </w:rPr>
              <w:br/>
              <w:t xml:space="preserve">Kryteria selekcji wykonawców: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IV.1.7) Informacje na temat umowy ramowej lub dynamicznego systemu zakupów: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Umowa ramowa będzie zawarta: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t xml:space="preserve">Czy przewiduje się ograniczenie liczby uczestników umowy ramowej: </w:t>
            </w:r>
            <w:r w:rsidRPr="006240CC">
              <w:rPr>
                <w:rFonts w:ascii="Times New Roman" w:eastAsia="Times New Roman" w:hAnsi="Times New Roman" w:cs="Times New Roman"/>
                <w:sz w:val="24"/>
                <w:szCs w:val="24"/>
                <w:lang w:eastAsia="pl-PL"/>
              </w:rPr>
              <w:br/>
              <w:t xml:space="preserve">nie </w:t>
            </w:r>
            <w:r w:rsidRPr="006240CC">
              <w:rPr>
                <w:rFonts w:ascii="Times New Roman" w:eastAsia="Times New Roman" w:hAnsi="Times New Roman" w:cs="Times New Roman"/>
                <w:sz w:val="24"/>
                <w:szCs w:val="24"/>
                <w:lang w:eastAsia="pl-PL"/>
              </w:rPr>
              <w:br/>
              <w:t xml:space="preserve">Informacje dodatkowe: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t xml:space="preserve">Zamówienie obejmuje ustanowienie dynamicznego systemu zakupów: </w:t>
            </w:r>
            <w:r w:rsidRPr="006240CC">
              <w:rPr>
                <w:rFonts w:ascii="Times New Roman" w:eastAsia="Times New Roman" w:hAnsi="Times New Roman" w:cs="Times New Roman"/>
                <w:sz w:val="24"/>
                <w:szCs w:val="24"/>
                <w:lang w:eastAsia="pl-PL"/>
              </w:rPr>
              <w:br/>
              <w:t xml:space="preserve">nie </w:t>
            </w:r>
            <w:r w:rsidRPr="006240CC">
              <w:rPr>
                <w:rFonts w:ascii="Times New Roman" w:eastAsia="Times New Roman" w:hAnsi="Times New Roman" w:cs="Times New Roman"/>
                <w:sz w:val="24"/>
                <w:szCs w:val="24"/>
                <w:lang w:eastAsia="pl-PL"/>
              </w:rPr>
              <w:br/>
              <w:t xml:space="preserve">Informacje dodatkowe: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lastRenderedPageBreak/>
              <w:t xml:space="preserve">nie </w:t>
            </w:r>
            <w:r w:rsidRPr="006240C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240CC">
              <w:rPr>
                <w:rFonts w:ascii="Times New Roman" w:eastAsia="Times New Roman" w:hAnsi="Times New Roman" w:cs="Times New Roman"/>
                <w:sz w:val="24"/>
                <w:szCs w:val="24"/>
                <w:lang w:eastAsia="pl-PL"/>
              </w:rPr>
              <w:br/>
              <w:t xml:space="preserve">nie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IV.1.8) Aukcja elektroniczna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Przewidziane jest przeprowadzenie aukcji elektronicznej </w:t>
            </w:r>
            <w:r w:rsidRPr="006240CC">
              <w:rPr>
                <w:rFonts w:ascii="Times New Roman" w:eastAsia="Times New Roman" w:hAnsi="Times New Roman" w:cs="Times New Roman"/>
                <w:i/>
                <w:iCs/>
                <w:sz w:val="24"/>
                <w:szCs w:val="24"/>
                <w:lang w:eastAsia="pl-PL"/>
              </w:rPr>
              <w:t xml:space="preserve">(przetarg nieograniczony, przetarg ograniczony, negocjacje z ogłoszeniem) </w:t>
            </w:r>
            <w:r w:rsidRPr="006240CC">
              <w:rPr>
                <w:rFonts w:ascii="Times New Roman" w:eastAsia="Times New Roman" w:hAnsi="Times New Roman" w:cs="Times New Roman"/>
                <w:sz w:val="24"/>
                <w:szCs w:val="24"/>
                <w:lang w:eastAsia="pl-PL"/>
              </w:rPr>
              <w:t xml:space="preserve">nie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240CC">
              <w:rPr>
                <w:rFonts w:ascii="Times New Roman" w:eastAsia="Times New Roman" w:hAnsi="Times New Roman" w:cs="Times New Roman"/>
                <w:sz w:val="24"/>
                <w:szCs w:val="24"/>
                <w:lang w:eastAsia="pl-PL"/>
              </w:rPr>
              <w:br/>
              <w:t xml:space="preserve">nie </w:t>
            </w:r>
            <w:r w:rsidRPr="006240C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240CC">
              <w:rPr>
                <w:rFonts w:ascii="Times New Roman" w:eastAsia="Times New Roman" w:hAnsi="Times New Roman" w:cs="Times New Roman"/>
                <w:sz w:val="24"/>
                <w:szCs w:val="24"/>
                <w:lang w:eastAsia="pl-PL"/>
              </w:rPr>
              <w:br/>
              <w:t xml:space="preserve">Informacje dotyczące przebiegu aukcji elektronicznej: </w:t>
            </w:r>
            <w:r w:rsidRPr="006240C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240C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240CC">
              <w:rPr>
                <w:rFonts w:ascii="Times New Roman" w:eastAsia="Times New Roman" w:hAnsi="Times New Roman" w:cs="Times New Roman"/>
                <w:sz w:val="24"/>
                <w:szCs w:val="24"/>
                <w:lang w:eastAsia="pl-PL"/>
              </w:rPr>
              <w:br/>
              <w:t xml:space="preserve">Wymagania dotyczące rejestracji i identyfikacji wykonawców w aukcji elektronicznej: </w:t>
            </w:r>
            <w:r w:rsidRPr="006240CC">
              <w:rPr>
                <w:rFonts w:ascii="Times New Roman" w:eastAsia="Times New Roman" w:hAnsi="Times New Roman" w:cs="Times New Roman"/>
                <w:sz w:val="24"/>
                <w:szCs w:val="24"/>
                <w:lang w:eastAsia="pl-PL"/>
              </w:rPr>
              <w:br/>
              <w:t xml:space="preserve">Informacje o liczbie etapów aukcji elektronicznej i czasie ich trwania: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240CC" w:rsidRPr="006240CC" w:rsidTr="006240CC">
              <w:trPr>
                <w:tblCellSpacing w:w="15" w:type="dxa"/>
              </w:trPr>
              <w:tc>
                <w:tcPr>
                  <w:tcW w:w="0" w:type="auto"/>
                  <w:vAlign w:val="center"/>
                  <w:hideMark/>
                </w:tcPr>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etap nr</w:t>
                  </w:r>
                </w:p>
              </w:tc>
              <w:tc>
                <w:tcPr>
                  <w:tcW w:w="0" w:type="auto"/>
                  <w:vAlign w:val="center"/>
                  <w:hideMark/>
                </w:tcPr>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czas trwania etapu</w:t>
                  </w:r>
                </w:p>
              </w:tc>
            </w:tr>
            <w:tr w:rsidR="006240CC" w:rsidRPr="006240CC" w:rsidTr="006240CC">
              <w:trPr>
                <w:tblCellSpacing w:w="15" w:type="dxa"/>
              </w:trPr>
              <w:tc>
                <w:tcPr>
                  <w:tcW w:w="0" w:type="auto"/>
                  <w:vAlign w:val="center"/>
                  <w:hideMark/>
                </w:tcPr>
                <w:p w:rsidR="006240CC" w:rsidRPr="006240CC" w:rsidRDefault="006240CC" w:rsidP="006240C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240CC" w:rsidRPr="006240CC" w:rsidRDefault="006240CC" w:rsidP="006240CC">
                  <w:pPr>
                    <w:spacing w:after="0" w:line="240" w:lineRule="auto"/>
                    <w:rPr>
                      <w:rFonts w:ascii="Times New Roman" w:eastAsia="Times New Roman" w:hAnsi="Times New Roman" w:cs="Times New Roman"/>
                      <w:sz w:val="20"/>
                      <w:szCs w:val="20"/>
                      <w:lang w:eastAsia="pl-PL"/>
                    </w:rPr>
                  </w:pPr>
                </w:p>
              </w:tc>
            </w:tr>
          </w:tbl>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240CC">
              <w:rPr>
                <w:rFonts w:ascii="Times New Roman" w:eastAsia="Times New Roman" w:hAnsi="Times New Roman" w:cs="Times New Roman"/>
                <w:sz w:val="24"/>
                <w:szCs w:val="24"/>
                <w:lang w:eastAsia="pl-PL"/>
              </w:rPr>
              <w:br/>
              <w:t xml:space="preserve">Warunki zamknięcia aukcji elektronicznej: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IV.2) KRYTERIA OCENY OFERT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IV.2.1) Kryteria oceny ofert: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4"/>
              <w:gridCol w:w="1049"/>
            </w:tblGrid>
            <w:tr w:rsidR="006240CC" w:rsidRPr="006240CC" w:rsidTr="006240CC">
              <w:trPr>
                <w:tblCellSpacing w:w="15" w:type="dxa"/>
              </w:trPr>
              <w:tc>
                <w:tcPr>
                  <w:tcW w:w="0" w:type="auto"/>
                  <w:vAlign w:val="center"/>
                  <w:hideMark/>
                </w:tcPr>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i/>
                      <w:iCs/>
                      <w:sz w:val="24"/>
                      <w:szCs w:val="24"/>
                      <w:lang w:eastAsia="pl-PL"/>
                    </w:rPr>
                    <w:t>Kryteria</w:t>
                  </w:r>
                </w:p>
              </w:tc>
              <w:tc>
                <w:tcPr>
                  <w:tcW w:w="0" w:type="auto"/>
                  <w:vAlign w:val="center"/>
                  <w:hideMark/>
                </w:tcPr>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i/>
                      <w:iCs/>
                      <w:sz w:val="24"/>
                      <w:szCs w:val="24"/>
                      <w:lang w:eastAsia="pl-PL"/>
                    </w:rPr>
                    <w:t>Znaczenie</w:t>
                  </w:r>
                </w:p>
              </w:tc>
            </w:tr>
            <w:tr w:rsidR="006240CC" w:rsidRPr="006240CC" w:rsidTr="006240CC">
              <w:trPr>
                <w:tblCellSpacing w:w="15" w:type="dxa"/>
              </w:trPr>
              <w:tc>
                <w:tcPr>
                  <w:tcW w:w="0" w:type="auto"/>
                  <w:vAlign w:val="center"/>
                  <w:hideMark/>
                </w:tcPr>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Cena brutto</w:t>
                  </w:r>
                </w:p>
              </w:tc>
              <w:tc>
                <w:tcPr>
                  <w:tcW w:w="0" w:type="auto"/>
                  <w:vAlign w:val="center"/>
                  <w:hideMark/>
                </w:tcPr>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60</w:t>
                  </w:r>
                </w:p>
              </w:tc>
            </w:tr>
            <w:tr w:rsidR="006240CC" w:rsidRPr="006240CC" w:rsidTr="006240CC">
              <w:trPr>
                <w:tblCellSpacing w:w="15" w:type="dxa"/>
              </w:trPr>
              <w:tc>
                <w:tcPr>
                  <w:tcW w:w="0" w:type="auto"/>
                  <w:vAlign w:val="center"/>
                  <w:hideMark/>
                </w:tcPr>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Termin płatności faktury </w:t>
                  </w:r>
                </w:p>
              </w:tc>
              <w:tc>
                <w:tcPr>
                  <w:tcW w:w="0" w:type="auto"/>
                  <w:vAlign w:val="center"/>
                  <w:hideMark/>
                </w:tcPr>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20</w:t>
                  </w:r>
                </w:p>
              </w:tc>
            </w:tr>
            <w:tr w:rsidR="006240CC" w:rsidRPr="006240CC" w:rsidTr="006240CC">
              <w:trPr>
                <w:tblCellSpacing w:w="15" w:type="dxa"/>
              </w:trPr>
              <w:tc>
                <w:tcPr>
                  <w:tcW w:w="0" w:type="auto"/>
                  <w:vAlign w:val="center"/>
                  <w:hideMark/>
                </w:tcPr>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Czas skutecznej interwencji na reklamację </w:t>
                  </w:r>
                </w:p>
              </w:tc>
              <w:tc>
                <w:tcPr>
                  <w:tcW w:w="0" w:type="auto"/>
                  <w:vAlign w:val="center"/>
                  <w:hideMark/>
                </w:tcPr>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20</w:t>
                  </w:r>
                </w:p>
              </w:tc>
            </w:tr>
          </w:tbl>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240CC">
              <w:rPr>
                <w:rFonts w:ascii="Times New Roman" w:eastAsia="Times New Roman" w:hAnsi="Times New Roman" w:cs="Times New Roman"/>
                <w:b/>
                <w:bCs/>
                <w:sz w:val="24"/>
                <w:szCs w:val="24"/>
                <w:lang w:eastAsia="pl-PL"/>
              </w:rPr>
              <w:t>Pzp</w:t>
            </w:r>
            <w:proofErr w:type="spellEnd"/>
            <w:r w:rsidRPr="006240CC">
              <w:rPr>
                <w:rFonts w:ascii="Times New Roman" w:eastAsia="Times New Roman" w:hAnsi="Times New Roman" w:cs="Times New Roman"/>
                <w:b/>
                <w:bCs/>
                <w:sz w:val="24"/>
                <w:szCs w:val="24"/>
                <w:lang w:eastAsia="pl-PL"/>
              </w:rPr>
              <w:t xml:space="preserve"> </w:t>
            </w:r>
            <w:r w:rsidRPr="006240CC">
              <w:rPr>
                <w:rFonts w:ascii="Times New Roman" w:eastAsia="Times New Roman" w:hAnsi="Times New Roman" w:cs="Times New Roman"/>
                <w:sz w:val="24"/>
                <w:szCs w:val="24"/>
                <w:lang w:eastAsia="pl-PL"/>
              </w:rPr>
              <w:t xml:space="preserve">(przetarg nieograniczony) </w:t>
            </w:r>
            <w:r w:rsidRPr="006240CC">
              <w:rPr>
                <w:rFonts w:ascii="Times New Roman" w:eastAsia="Times New Roman" w:hAnsi="Times New Roman" w:cs="Times New Roman"/>
                <w:sz w:val="24"/>
                <w:szCs w:val="24"/>
                <w:lang w:eastAsia="pl-PL"/>
              </w:rPr>
              <w:br/>
              <w:t xml:space="preserve">tak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IV.3) Negocjacje z ogłoszeniem, dialog konkurencyjny, partnerstwo innowacyjne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IV.3.1) Informacje na temat negocjacji z ogłoszeniem</w:t>
            </w:r>
            <w:r w:rsidRPr="006240CC">
              <w:rPr>
                <w:rFonts w:ascii="Times New Roman" w:eastAsia="Times New Roman" w:hAnsi="Times New Roman" w:cs="Times New Roman"/>
                <w:sz w:val="24"/>
                <w:szCs w:val="24"/>
                <w:lang w:eastAsia="pl-PL"/>
              </w:rPr>
              <w:br/>
              <w:t xml:space="preserve">Minimalne wymagania, które muszą spełniać wszystkie oferty: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t xml:space="preserve">Przewidziane jest zastrzeżenie prawa do udzielenia zamówienia na podstawie ofert </w:t>
            </w:r>
            <w:r w:rsidRPr="006240CC">
              <w:rPr>
                <w:rFonts w:ascii="Times New Roman" w:eastAsia="Times New Roman" w:hAnsi="Times New Roman" w:cs="Times New Roman"/>
                <w:sz w:val="24"/>
                <w:szCs w:val="24"/>
                <w:lang w:eastAsia="pl-PL"/>
              </w:rPr>
              <w:lastRenderedPageBreak/>
              <w:t xml:space="preserve">wstępnych bez przeprowadzenia negocjacji nie </w:t>
            </w:r>
            <w:r w:rsidRPr="006240CC">
              <w:rPr>
                <w:rFonts w:ascii="Times New Roman" w:eastAsia="Times New Roman" w:hAnsi="Times New Roman" w:cs="Times New Roman"/>
                <w:sz w:val="24"/>
                <w:szCs w:val="24"/>
                <w:lang w:eastAsia="pl-PL"/>
              </w:rPr>
              <w:br/>
              <w:t xml:space="preserve">Przewidziany jest podział negocjacji na etapy w celu ograniczenia liczby ofert: nie </w:t>
            </w:r>
            <w:r w:rsidRPr="006240CC">
              <w:rPr>
                <w:rFonts w:ascii="Times New Roman" w:eastAsia="Times New Roman" w:hAnsi="Times New Roman" w:cs="Times New Roman"/>
                <w:sz w:val="24"/>
                <w:szCs w:val="24"/>
                <w:lang w:eastAsia="pl-PL"/>
              </w:rPr>
              <w:br/>
              <w:t xml:space="preserve">Należy podać informacje na temat etapów negocjacji (w tym liczbę etapów):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t xml:space="preserve">Informacje dodatkowe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IV.3.2) Informacje na temat dialogu konkurencyjnego</w:t>
            </w:r>
            <w:r w:rsidRPr="006240C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t xml:space="preserve">Wstępny harmonogram postępowania: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t xml:space="preserve">Podział dialogu na etapy w celu ograniczenia liczby rozwiązań: nie </w:t>
            </w:r>
            <w:r w:rsidRPr="006240CC">
              <w:rPr>
                <w:rFonts w:ascii="Times New Roman" w:eastAsia="Times New Roman" w:hAnsi="Times New Roman" w:cs="Times New Roman"/>
                <w:sz w:val="24"/>
                <w:szCs w:val="24"/>
                <w:lang w:eastAsia="pl-PL"/>
              </w:rPr>
              <w:br/>
              <w:t xml:space="preserve">Należy podać informacje na temat etapów dialogu: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t xml:space="preserve">Informacje dodatkowe: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IV.3.3) Informacje na temat partnerstwa innowacyjnego</w:t>
            </w:r>
            <w:r w:rsidRPr="006240C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240CC">
              <w:rPr>
                <w:rFonts w:ascii="Times New Roman" w:eastAsia="Times New Roman" w:hAnsi="Times New Roman" w:cs="Times New Roman"/>
                <w:sz w:val="24"/>
                <w:szCs w:val="24"/>
                <w:lang w:eastAsia="pl-PL"/>
              </w:rPr>
              <w:br/>
              <w:t xml:space="preserve">nie </w:t>
            </w:r>
            <w:r w:rsidRPr="006240CC">
              <w:rPr>
                <w:rFonts w:ascii="Times New Roman" w:eastAsia="Times New Roman" w:hAnsi="Times New Roman" w:cs="Times New Roman"/>
                <w:sz w:val="24"/>
                <w:szCs w:val="24"/>
                <w:lang w:eastAsia="pl-PL"/>
              </w:rPr>
              <w:br/>
              <w:t xml:space="preserve">Informacje dodatkowe: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IV.4) Licytacja elektroniczna </w:t>
            </w:r>
            <w:r w:rsidRPr="006240CC">
              <w:rPr>
                <w:rFonts w:ascii="Times New Roman" w:eastAsia="Times New Roman" w:hAnsi="Times New Roman" w:cs="Times New Roman"/>
                <w:sz w:val="24"/>
                <w:szCs w:val="24"/>
                <w:lang w:eastAsia="pl-PL"/>
              </w:rPr>
              <w:br/>
              <w:t xml:space="preserve">Adres strony internetowej, na której będzie prowadzona licytacja elektroniczna: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Informacje o liczbie etapów licytacji elektronicznej i czasie ich trwania: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240CC" w:rsidRPr="006240CC" w:rsidTr="006240CC">
              <w:trPr>
                <w:tblCellSpacing w:w="15" w:type="dxa"/>
              </w:trPr>
              <w:tc>
                <w:tcPr>
                  <w:tcW w:w="0" w:type="auto"/>
                  <w:vAlign w:val="center"/>
                  <w:hideMark/>
                </w:tcPr>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etap nr</w:t>
                  </w:r>
                </w:p>
              </w:tc>
              <w:tc>
                <w:tcPr>
                  <w:tcW w:w="0" w:type="auto"/>
                  <w:vAlign w:val="center"/>
                  <w:hideMark/>
                </w:tcPr>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czas trwania etapu</w:t>
                  </w:r>
                </w:p>
              </w:tc>
            </w:tr>
            <w:tr w:rsidR="006240CC" w:rsidRPr="006240CC" w:rsidTr="006240CC">
              <w:trPr>
                <w:tblCellSpacing w:w="15" w:type="dxa"/>
              </w:trPr>
              <w:tc>
                <w:tcPr>
                  <w:tcW w:w="0" w:type="auto"/>
                  <w:vAlign w:val="center"/>
                  <w:hideMark/>
                </w:tcPr>
                <w:p w:rsidR="006240CC" w:rsidRPr="006240CC" w:rsidRDefault="006240CC" w:rsidP="006240C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240CC" w:rsidRPr="006240CC" w:rsidRDefault="006240CC" w:rsidP="006240CC">
                  <w:pPr>
                    <w:spacing w:after="0" w:line="240" w:lineRule="auto"/>
                    <w:rPr>
                      <w:rFonts w:ascii="Times New Roman" w:eastAsia="Times New Roman" w:hAnsi="Times New Roman" w:cs="Times New Roman"/>
                      <w:sz w:val="20"/>
                      <w:szCs w:val="20"/>
                      <w:lang w:eastAsia="pl-PL"/>
                    </w:rPr>
                  </w:pPr>
                </w:p>
              </w:tc>
            </w:tr>
          </w:tbl>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Termin otwarcia licytacji elektronicznej: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t xml:space="preserve">Termin i warunki zamknięcia licytacji elektronicznej: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t xml:space="preserve">Wymagania dotyczące zabezpieczenia należytego wykonania umowy: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sz w:val="24"/>
                <w:szCs w:val="24"/>
                <w:lang w:eastAsia="pl-PL"/>
              </w:rPr>
              <w:br/>
              <w:t xml:space="preserve">Informacje dodatkowe: </w:t>
            </w:r>
          </w:p>
          <w:p w:rsidR="006240CC" w:rsidRPr="006240CC" w:rsidRDefault="006240CC" w:rsidP="006240CC">
            <w:pPr>
              <w:spacing w:after="0" w:line="240" w:lineRule="auto"/>
              <w:rPr>
                <w:rFonts w:ascii="Times New Roman" w:eastAsia="Times New Roman" w:hAnsi="Times New Roman" w:cs="Times New Roman"/>
                <w:sz w:val="24"/>
                <w:szCs w:val="24"/>
                <w:lang w:eastAsia="pl-PL"/>
              </w:rPr>
            </w:pPr>
            <w:r w:rsidRPr="006240CC">
              <w:rPr>
                <w:rFonts w:ascii="Times New Roman" w:eastAsia="Times New Roman" w:hAnsi="Times New Roman" w:cs="Times New Roman"/>
                <w:b/>
                <w:bCs/>
                <w:sz w:val="24"/>
                <w:szCs w:val="24"/>
                <w:lang w:eastAsia="pl-PL"/>
              </w:rPr>
              <w:t>IV.5) ZMIANA UMOWY</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240CC">
              <w:rPr>
                <w:rFonts w:ascii="Times New Roman" w:eastAsia="Times New Roman" w:hAnsi="Times New Roman" w:cs="Times New Roman"/>
                <w:sz w:val="24"/>
                <w:szCs w:val="24"/>
                <w:lang w:eastAsia="pl-PL"/>
              </w:rPr>
              <w:t xml:space="preserve"> tak </w:t>
            </w:r>
            <w:r w:rsidRPr="006240CC">
              <w:rPr>
                <w:rFonts w:ascii="Times New Roman" w:eastAsia="Times New Roman" w:hAnsi="Times New Roman" w:cs="Times New Roman"/>
                <w:sz w:val="24"/>
                <w:szCs w:val="24"/>
                <w:lang w:eastAsia="pl-PL"/>
              </w:rPr>
              <w:br/>
              <w:t xml:space="preserve">Należy wskazać zakres, charakter zmian oraz warunki wprowadzenia zmian: </w:t>
            </w:r>
            <w:r w:rsidRPr="006240CC">
              <w:rPr>
                <w:rFonts w:ascii="Times New Roman" w:eastAsia="Times New Roman" w:hAnsi="Times New Roman" w:cs="Times New Roman"/>
                <w:sz w:val="24"/>
                <w:szCs w:val="24"/>
                <w:lang w:eastAsia="pl-PL"/>
              </w:rPr>
              <w:br/>
              <w:t xml:space="preserve">16.1.Wzór umowy w sprawie niniejszego zamówienia publicznego zawarty jest w załączniku nr 7 do SIWZ. 16.2. Zakazuje się zmian postanowień zawartej umowy w stosunku do treści oferty, na podstawie której dokonano wyboru wykonawcy, chyba że zmiana będzie dotyczyła następujących zdarzeń: 1) Wystąpienia zmian powszechnie obowiązujących przepisów prawa w zakresie mającym wpływ na realizację przedmiotu umowy. 2) Wyniknięcia rozbieżności lub niejasności w rozumieniu pojęć użytych w umowie, których nie można usunąć w inny sposób a zmiana będzie umożliwiać usunięcie rozbieżności i doprecyzowanie umowy w celu jednoznacznej interpretacji jej zapisów przez strony, 3) Wystąpienia konieczności zmiany osób wskazanych w ofercie (śmierć, choroba, ustanie stosunku pracy lub inne zdarzenia losowe lub inne przyczyny niezależne od Wykonawcy) przy pomocy, których Wykonawca realizuje przedmiot umowy. Zmiana jest możliwa pod warunkiem zaproponowania innych osób spełniających na dzień składania ofert warunki określone w SIWZ. 4) Zmiany albo rezygnacji z podwykonawcy, na którego zasoby wykonawca powoływał się, na zasadach określonych w art. 22a ust. 1 ustawy </w:t>
            </w:r>
            <w:proofErr w:type="spellStart"/>
            <w:r w:rsidRPr="006240CC">
              <w:rPr>
                <w:rFonts w:ascii="Times New Roman" w:eastAsia="Times New Roman" w:hAnsi="Times New Roman" w:cs="Times New Roman"/>
                <w:sz w:val="24"/>
                <w:szCs w:val="24"/>
                <w:lang w:eastAsia="pl-PL"/>
              </w:rPr>
              <w:t>Pzp</w:t>
            </w:r>
            <w:proofErr w:type="spellEnd"/>
            <w:r w:rsidRPr="006240CC">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5) Zmiany Podwykonawcy pod warunkiem spełnienia warunków określonych w Umowie. 6) Wystąpienia konieczności zmiany osób (śmierć, choroba, ustania stosunku pracy lub inne zdarzenia losowe lub inne przyczyny niezależne od Zamawiającego), przy pomocy których Zamawiający realizuje przedmiot umowy. 7) Wystąpienia konieczności zmian osób Wykonawcy,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8) W przypadku kiedy umowa zawarta jest na okres dłuższy niż 12 miesięcy przewiduje się możliwość wprowadzania odpowiednich zmian wysokości wynagrodzenia należnego wykonawcy, w przypadku zmiany: 1) stawki podatku od towarów i usług, 2) wysokości minimalnego wynagrodzenia za pracę ustalonego na podstawie art. 2 ust. 3–5 ustawy z dnia 10 października 2002r. o minimalnym wynagrodzeniu za pracę (Dz.U. z 2015r. poz. 2008 oraz z 2016r. poz. 1265), 3) zasad podlegania ubezpieczeniom społecznym lub ubezpieczeniu zdrowotnemu lub wysokości stawki składki na ubezpieczenia społeczne lub zdrowotne jeżeli zmiany te będą miały wpływ na koszty wykonania zamówienia publicznego przez wykonawcę. 9). W przypadku konieczności zmian umowy w zakresie, o którym mowa w ust. 2 ustala </w:t>
            </w:r>
            <w:r w:rsidRPr="006240CC">
              <w:rPr>
                <w:rFonts w:ascii="Times New Roman" w:eastAsia="Times New Roman" w:hAnsi="Times New Roman" w:cs="Times New Roman"/>
                <w:sz w:val="24"/>
                <w:szCs w:val="24"/>
                <w:lang w:eastAsia="pl-PL"/>
              </w:rPr>
              <w:lastRenderedPageBreak/>
              <w:t xml:space="preserve">się, że zmiany mogą zostać dokonane jedynie na pisemny i uzasadniony wniosek Wykonawcy. 10). Wykonawca do wniosku, o którym mowa w ust. 3 zobowiązany jest załączyć wszelkie dowody na potwierdzenie, że zmiany prawa w zakresie określonym w ust. 2 niniejszej umowy miały wpływ na koszty wykonania zamówienia. Powyższe okoliczności stanowią zakres, charakter oraz warunki wprowadzenia zmian w zawartej umowie o których mowa w art. 144 ust. 1 </w:t>
            </w:r>
            <w:proofErr w:type="spellStart"/>
            <w:r w:rsidRPr="006240CC">
              <w:rPr>
                <w:rFonts w:ascii="Times New Roman" w:eastAsia="Times New Roman" w:hAnsi="Times New Roman" w:cs="Times New Roman"/>
                <w:sz w:val="24"/>
                <w:szCs w:val="24"/>
                <w:lang w:eastAsia="pl-PL"/>
              </w:rPr>
              <w:t>Pzp</w:t>
            </w:r>
            <w:proofErr w:type="spellEnd"/>
            <w:r w:rsidRPr="006240CC">
              <w:rPr>
                <w:rFonts w:ascii="Times New Roman" w:eastAsia="Times New Roman" w:hAnsi="Times New Roman" w:cs="Times New Roman"/>
                <w:sz w:val="24"/>
                <w:szCs w:val="24"/>
                <w:lang w:eastAsia="pl-PL"/>
              </w:rPr>
              <w:t xml:space="preserve">. 18.6.16.3. Nie stanowią zmiany umowy w rozumieniu art. 144 ust. 1 ustawy </w:t>
            </w:r>
            <w:proofErr w:type="spellStart"/>
            <w:r w:rsidRPr="006240CC">
              <w:rPr>
                <w:rFonts w:ascii="Times New Roman" w:eastAsia="Times New Roman" w:hAnsi="Times New Roman" w:cs="Times New Roman"/>
                <w:sz w:val="24"/>
                <w:szCs w:val="24"/>
                <w:lang w:eastAsia="pl-PL"/>
              </w:rPr>
              <w:t>Pzp</w:t>
            </w:r>
            <w:proofErr w:type="spellEnd"/>
            <w:r w:rsidRPr="006240CC">
              <w:rPr>
                <w:rFonts w:ascii="Times New Roman" w:eastAsia="Times New Roman" w:hAnsi="Times New Roman" w:cs="Times New Roman"/>
                <w:sz w:val="24"/>
                <w:szCs w:val="24"/>
                <w:lang w:eastAsia="pl-PL"/>
              </w:rPr>
              <w:t xml:space="preserve"> następujące zmiany: a) danych związanych z obsługą administracyjno-organizacyjną Umowy, w szczególności zmiana numeru rachunku bankowego, b) danych teleadresowych, c) danych rejestrowych, numerów NIP, REGON, PESEL d) będące następstwem sukcesji uniwersalnej dotyczącej stron Umowy, e) zmiany Harmonogramu rzeczowo-finansowego przewidzianego w Umowie. 16.4. Wszelkie zmiany do niniejszej umowy wymagają zgody obu stron wyrażoną na piśmie w formie aneksu pod rygorem nieważności. 16.5. Do umów w sprawach zamówień publicznych stosuje się przepisy Kodeksu Cywilnego, jeżeli przepisy ustawy </w:t>
            </w:r>
            <w:proofErr w:type="spellStart"/>
            <w:r w:rsidRPr="006240CC">
              <w:rPr>
                <w:rFonts w:ascii="Times New Roman" w:eastAsia="Times New Roman" w:hAnsi="Times New Roman" w:cs="Times New Roman"/>
                <w:sz w:val="24"/>
                <w:szCs w:val="24"/>
                <w:lang w:eastAsia="pl-PL"/>
              </w:rPr>
              <w:t>Pzp</w:t>
            </w:r>
            <w:proofErr w:type="spellEnd"/>
            <w:r w:rsidRPr="006240CC">
              <w:rPr>
                <w:rFonts w:ascii="Times New Roman" w:eastAsia="Times New Roman" w:hAnsi="Times New Roman" w:cs="Times New Roman"/>
                <w:sz w:val="24"/>
                <w:szCs w:val="24"/>
                <w:lang w:eastAsia="pl-PL"/>
              </w:rPr>
              <w:t xml:space="preserve"> nie stanowią inaczej. 16.6. Umowa wymaga, pod rygorem nieważności, zachowania formy pisemnej, chyba że przepisy odrębne wymagają formy szczególnej.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IV.6) INFORMACJE ADMINISTRACYJNE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IV.6.1) Sposób udostępniania informacji o charakterze poufnym </w:t>
            </w:r>
            <w:r w:rsidRPr="006240CC">
              <w:rPr>
                <w:rFonts w:ascii="Times New Roman" w:eastAsia="Times New Roman" w:hAnsi="Times New Roman" w:cs="Times New Roman"/>
                <w:i/>
                <w:iCs/>
                <w:sz w:val="24"/>
                <w:szCs w:val="24"/>
                <w:lang w:eastAsia="pl-PL"/>
              </w:rPr>
              <w:t xml:space="preserve">(jeżeli dotyczy):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Środki służące ochronie informacji o charakterze poufnym</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240CC">
              <w:rPr>
                <w:rFonts w:ascii="Times New Roman" w:eastAsia="Times New Roman" w:hAnsi="Times New Roman" w:cs="Times New Roman"/>
                <w:sz w:val="24"/>
                <w:szCs w:val="24"/>
                <w:lang w:eastAsia="pl-PL"/>
              </w:rPr>
              <w:br/>
              <w:t xml:space="preserve">Data: 28/11/2016, godzina: 10:00, </w:t>
            </w:r>
            <w:r w:rsidRPr="006240C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240CC">
              <w:rPr>
                <w:rFonts w:ascii="Times New Roman" w:eastAsia="Times New Roman" w:hAnsi="Times New Roman" w:cs="Times New Roman"/>
                <w:sz w:val="24"/>
                <w:szCs w:val="24"/>
                <w:lang w:eastAsia="pl-PL"/>
              </w:rPr>
              <w:br/>
              <w:t xml:space="preserve">nie </w:t>
            </w:r>
            <w:r w:rsidRPr="006240CC">
              <w:rPr>
                <w:rFonts w:ascii="Times New Roman" w:eastAsia="Times New Roman" w:hAnsi="Times New Roman" w:cs="Times New Roman"/>
                <w:sz w:val="24"/>
                <w:szCs w:val="24"/>
                <w:lang w:eastAsia="pl-PL"/>
              </w:rPr>
              <w:br/>
              <w:t xml:space="preserve">Wskazać powody: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240CC">
              <w:rPr>
                <w:rFonts w:ascii="Times New Roman" w:eastAsia="Times New Roman" w:hAnsi="Times New Roman" w:cs="Times New Roman"/>
                <w:sz w:val="24"/>
                <w:szCs w:val="24"/>
                <w:lang w:eastAsia="pl-PL"/>
              </w:rPr>
              <w:br/>
              <w:t xml:space="preserve">&gt;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 xml:space="preserve">IV.6.3) Termin związania ofertą: </w:t>
            </w:r>
            <w:r w:rsidRPr="006240CC">
              <w:rPr>
                <w:rFonts w:ascii="Times New Roman" w:eastAsia="Times New Roman" w:hAnsi="Times New Roman" w:cs="Times New Roman"/>
                <w:sz w:val="24"/>
                <w:szCs w:val="24"/>
                <w:lang w:eastAsia="pl-PL"/>
              </w:rPr>
              <w:t xml:space="preserve">okres w dniach: 30 (od ostatecznego terminu składania ofert)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240CC">
              <w:rPr>
                <w:rFonts w:ascii="Times New Roman" w:eastAsia="Times New Roman" w:hAnsi="Times New Roman" w:cs="Times New Roman"/>
                <w:sz w:val="24"/>
                <w:szCs w:val="24"/>
                <w:lang w:eastAsia="pl-PL"/>
              </w:rPr>
              <w:t xml:space="preserve"> nie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240CC">
              <w:rPr>
                <w:rFonts w:ascii="Times New Roman" w:eastAsia="Times New Roman" w:hAnsi="Times New Roman" w:cs="Times New Roman"/>
                <w:sz w:val="24"/>
                <w:szCs w:val="24"/>
                <w:lang w:eastAsia="pl-PL"/>
              </w:rPr>
              <w:t xml:space="preserve"> nie </w:t>
            </w:r>
            <w:r w:rsidRPr="006240CC">
              <w:rPr>
                <w:rFonts w:ascii="Times New Roman" w:eastAsia="Times New Roman" w:hAnsi="Times New Roman" w:cs="Times New Roman"/>
                <w:sz w:val="24"/>
                <w:szCs w:val="24"/>
                <w:lang w:eastAsia="pl-PL"/>
              </w:rPr>
              <w:br/>
            </w:r>
            <w:r w:rsidRPr="006240CC">
              <w:rPr>
                <w:rFonts w:ascii="Times New Roman" w:eastAsia="Times New Roman" w:hAnsi="Times New Roman" w:cs="Times New Roman"/>
                <w:b/>
                <w:bCs/>
                <w:sz w:val="24"/>
                <w:szCs w:val="24"/>
                <w:lang w:eastAsia="pl-PL"/>
              </w:rPr>
              <w:t>IV.6.6) Informacje dodatkowe:</w:t>
            </w:r>
            <w:r w:rsidRPr="006240CC">
              <w:rPr>
                <w:rFonts w:ascii="Times New Roman" w:eastAsia="Times New Roman" w:hAnsi="Times New Roman" w:cs="Times New Roman"/>
                <w:sz w:val="24"/>
                <w:szCs w:val="24"/>
                <w:lang w:eastAsia="pl-PL"/>
              </w:rPr>
              <w:br/>
              <w:t xml:space="preserve">Otwarcie ofert nastąpi w dniu 28.11.2016 r. o godz. 10:15 w Urzędzie Gminy Dzikowiec (sala narad nr 22). 18. INFORMACJA O PODWYKONAWCACH. 18.1. </w:t>
            </w:r>
            <w:r w:rsidRPr="006240CC">
              <w:rPr>
                <w:rFonts w:ascii="Times New Roman" w:eastAsia="Times New Roman" w:hAnsi="Times New Roman" w:cs="Times New Roman"/>
                <w:sz w:val="24"/>
                <w:szCs w:val="24"/>
                <w:lang w:eastAsia="pl-PL"/>
              </w:rPr>
              <w:lastRenderedPageBreak/>
              <w:t xml:space="preserve">Zamawiający dopuszcza podwykonawstwo. 18.2. Zamawiający nie zastrzega obowiązku osobistego wykonania przez wykonawcę kluczowych części zamówienia. 18.3. Wykonawca może powierzyć wykonanie części zamówienia podwykonawcy. Zamawiający żąda wskazania przez wykonawcę części zamówienia, których wykonanie zamierza powierzyć podwykonawcom, i podania przez wykonawcę firm podwykonawców. 18.4.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6240CC" w:rsidRPr="006240CC" w:rsidRDefault="006240CC" w:rsidP="006240CC">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6240CC" w:rsidRPr="006240CC" w:rsidRDefault="006240CC" w:rsidP="006240CC">
            <w:pPr>
              <w:spacing w:after="0" w:line="240" w:lineRule="auto"/>
              <w:jc w:val="right"/>
              <w:rPr>
                <w:rFonts w:ascii="Times New Roman" w:eastAsia="Times New Roman" w:hAnsi="Times New Roman" w:cs="Times New Roman"/>
                <w:sz w:val="24"/>
                <w:szCs w:val="24"/>
                <w:lang w:eastAsia="pl-PL"/>
              </w:rPr>
            </w:pPr>
            <w:r w:rsidRPr="006240CC">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0CC">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0CC">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bookmarkStart w:id="0" w:name="_GoBack"/>
        <w:bookmarkEnd w:id="0"/>
      </w:tr>
    </w:tbl>
    <w:p w:rsidR="00DB3869" w:rsidRDefault="00DB3869"/>
    <w:sectPr w:rsidR="00DB3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2C"/>
    <w:rsid w:val="000C3998"/>
    <w:rsid w:val="006240CC"/>
    <w:rsid w:val="00AB4D2C"/>
    <w:rsid w:val="00DB3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4EE99-FAB2-4D7D-BA1A-B9065E5B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240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240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09144">
      <w:bodyDiv w:val="1"/>
      <w:marLeft w:val="0"/>
      <w:marRight w:val="0"/>
      <w:marTop w:val="0"/>
      <w:marBottom w:val="0"/>
      <w:divBdr>
        <w:top w:val="none" w:sz="0" w:space="0" w:color="auto"/>
        <w:left w:val="none" w:sz="0" w:space="0" w:color="auto"/>
        <w:bottom w:val="none" w:sz="0" w:space="0" w:color="auto"/>
        <w:right w:val="none" w:sz="0" w:space="0" w:color="auto"/>
      </w:divBdr>
      <w:divsChild>
        <w:div w:id="1984382507">
          <w:marLeft w:val="0"/>
          <w:marRight w:val="0"/>
          <w:marTop w:val="0"/>
          <w:marBottom w:val="0"/>
          <w:divBdr>
            <w:top w:val="none" w:sz="0" w:space="0" w:color="auto"/>
            <w:left w:val="none" w:sz="0" w:space="0" w:color="auto"/>
            <w:bottom w:val="none" w:sz="0" w:space="0" w:color="auto"/>
            <w:right w:val="none" w:sz="0" w:space="0" w:color="auto"/>
          </w:divBdr>
          <w:divsChild>
            <w:div w:id="1325283615">
              <w:marLeft w:val="0"/>
              <w:marRight w:val="0"/>
              <w:marTop w:val="0"/>
              <w:marBottom w:val="0"/>
              <w:divBdr>
                <w:top w:val="none" w:sz="0" w:space="0" w:color="auto"/>
                <w:left w:val="none" w:sz="0" w:space="0" w:color="auto"/>
                <w:bottom w:val="none" w:sz="0" w:space="0" w:color="auto"/>
                <w:right w:val="none" w:sz="0" w:space="0" w:color="auto"/>
              </w:divBdr>
              <w:divsChild>
                <w:div w:id="1559634121">
                  <w:marLeft w:val="0"/>
                  <w:marRight w:val="0"/>
                  <w:marTop w:val="0"/>
                  <w:marBottom w:val="0"/>
                  <w:divBdr>
                    <w:top w:val="none" w:sz="0" w:space="0" w:color="auto"/>
                    <w:left w:val="none" w:sz="0" w:space="0" w:color="auto"/>
                    <w:bottom w:val="none" w:sz="0" w:space="0" w:color="auto"/>
                    <w:right w:val="none" w:sz="0" w:space="0" w:color="auto"/>
                  </w:divBdr>
                  <w:divsChild>
                    <w:div w:id="1705978774">
                      <w:marLeft w:val="0"/>
                      <w:marRight w:val="0"/>
                      <w:marTop w:val="0"/>
                      <w:marBottom w:val="0"/>
                      <w:divBdr>
                        <w:top w:val="none" w:sz="0" w:space="0" w:color="auto"/>
                        <w:left w:val="none" w:sz="0" w:space="0" w:color="auto"/>
                        <w:bottom w:val="none" w:sz="0" w:space="0" w:color="auto"/>
                        <w:right w:val="none" w:sz="0" w:space="0" w:color="auto"/>
                      </w:divBdr>
                    </w:div>
                    <w:div w:id="518742816">
                      <w:marLeft w:val="0"/>
                      <w:marRight w:val="0"/>
                      <w:marTop w:val="0"/>
                      <w:marBottom w:val="0"/>
                      <w:divBdr>
                        <w:top w:val="none" w:sz="0" w:space="0" w:color="auto"/>
                        <w:left w:val="none" w:sz="0" w:space="0" w:color="auto"/>
                        <w:bottom w:val="none" w:sz="0" w:space="0" w:color="auto"/>
                        <w:right w:val="none" w:sz="0" w:space="0" w:color="auto"/>
                      </w:divBdr>
                    </w:div>
                    <w:div w:id="1685281256">
                      <w:marLeft w:val="0"/>
                      <w:marRight w:val="0"/>
                      <w:marTop w:val="0"/>
                      <w:marBottom w:val="0"/>
                      <w:divBdr>
                        <w:top w:val="none" w:sz="0" w:space="0" w:color="auto"/>
                        <w:left w:val="none" w:sz="0" w:space="0" w:color="auto"/>
                        <w:bottom w:val="none" w:sz="0" w:space="0" w:color="auto"/>
                        <w:right w:val="none" w:sz="0" w:space="0" w:color="auto"/>
                      </w:divBdr>
                    </w:div>
                    <w:div w:id="1516965162">
                      <w:marLeft w:val="0"/>
                      <w:marRight w:val="0"/>
                      <w:marTop w:val="0"/>
                      <w:marBottom w:val="0"/>
                      <w:divBdr>
                        <w:top w:val="none" w:sz="0" w:space="0" w:color="auto"/>
                        <w:left w:val="none" w:sz="0" w:space="0" w:color="auto"/>
                        <w:bottom w:val="none" w:sz="0" w:space="0" w:color="auto"/>
                        <w:right w:val="none" w:sz="0" w:space="0" w:color="auto"/>
                      </w:divBdr>
                      <w:divsChild>
                        <w:div w:id="713191334">
                          <w:marLeft w:val="0"/>
                          <w:marRight w:val="0"/>
                          <w:marTop w:val="0"/>
                          <w:marBottom w:val="0"/>
                          <w:divBdr>
                            <w:top w:val="none" w:sz="0" w:space="0" w:color="auto"/>
                            <w:left w:val="none" w:sz="0" w:space="0" w:color="auto"/>
                            <w:bottom w:val="none" w:sz="0" w:space="0" w:color="auto"/>
                            <w:right w:val="none" w:sz="0" w:space="0" w:color="auto"/>
                          </w:divBdr>
                        </w:div>
                      </w:divsChild>
                    </w:div>
                    <w:div w:id="1719626568">
                      <w:marLeft w:val="0"/>
                      <w:marRight w:val="0"/>
                      <w:marTop w:val="0"/>
                      <w:marBottom w:val="0"/>
                      <w:divBdr>
                        <w:top w:val="none" w:sz="0" w:space="0" w:color="auto"/>
                        <w:left w:val="none" w:sz="0" w:space="0" w:color="auto"/>
                        <w:bottom w:val="none" w:sz="0" w:space="0" w:color="auto"/>
                        <w:right w:val="none" w:sz="0" w:space="0" w:color="auto"/>
                      </w:divBdr>
                      <w:divsChild>
                        <w:div w:id="447772750">
                          <w:marLeft w:val="0"/>
                          <w:marRight w:val="0"/>
                          <w:marTop w:val="0"/>
                          <w:marBottom w:val="0"/>
                          <w:divBdr>
                            <w:top w:val="none" w:sz="0" w:space="0" w:color="auto"/>
                            <w:left w:val="none" w:sz="0" w:space="0" w:color="auto"/>
                            <w:bottom w:val="none" w:sz="0" w:space="0" w:color="auto"/>
                            <w:right w:val="none" w:sz="0" w:space="0" w:color="auto"/>
                          </w:divBdr>
                        </w:div>
                      </w:divsChild>
                    </w:div>
                    <w:div w:id="1380665425">
                      <w:marLeft w:val="0"/>
                      <w:marRight w:val="0"/>
                      <w:marTop w:val="0"/>
                      <w:marBottom w:val="0"/>
                      <w:divBdr>
                        <w:top w:val="none" w:sz="0" w:space="0" w:color="auto"/>
                        <w:left w:val="none" w:sz="0" w:space="0" w:color="auto"/>
                        <w:bottom w:val="none" w:sz="0" w:space="0" w:color="auto"/>
                        <w:right w:val="none" w:sz="0" w:space="0" w:color="auto"/>
                      </w:divBdr>
                      <w:divsChild>
                        <w:div w:id="1132670019">
                          <w:marLeft w:val="0"/>
                          <w:marRight w:val="0"/>
                          <w:marTop w:val="0"/>
                          <w:marBottom w:val="0"/>
                          <w:divBdr>
                            <w:top w:val="none" w:sz="0" w:space="0" w:color="auto"/>
                            <w:left w:val="none" w:sz="0" w:space="0" w:color="auto"/>
                            <w:bottom w:val="none" w:sz="0" w:space="0" w:color="auto"/>
                            <w:right w:val="none" w:sz="0" w:space="0" w:color="auto"/>
                          </w:divBdr>
                        </w:div>
                        <w:div w:id="147015256">
                          <w:marLeft w:val="0"/>
                          <w:marRight w:val="0"/>
                          <w:marTop w:val="0"/>
                          <w:marBottom w:val="0"/>
                          <w:divBdr>
                            <w:top w:val="none" w:sz="0" w:space="0" w:color="auto"/>
                            <w:left w:val="none" w:sz="0" w:space="0" w:color="auto"/>
                            <w:bottom w:val="none" w:sz="0" w:space="0" w:color="auto"/>
                            <w:right w:val="none" w:sz="0" w:space="0" w:color="auto"/>
                          </w:divBdr>
                        </w:div>
                        <w:div w:id="742990172">
                          <w:marLeft w:val="0"/>
                          <w:marRight w:val="0"/>
                          <w:marTop w:val="0"/>
                          <w:marBottom w:val="0"/>
                          <w:divBdr>
                            <w:top w:val="none" w:sz="0" w:space="0" w:color="auto"/>
                            <w:left w:val="none" w:sz="0" w:space="0" w:color="auto"/>
                            <w:bottom w:val="none" w:sz="0" w:space="0" w:color="auto"/>
                            <w:right w:val="none" w:sz="0" w:space="0" w:color="auto"/>
                          </w:divBdr>
                        </w:div>
                        <w:div w:id="1681813978">
                          <w:marLeft w:val="0"/>
                          <w:marRight w:val="0"/>
                          <w:marTop w:val="0"/>
                          <w:marBottom w:val="0"/>
                          <w:divBdr>
                            <w:top w:val="none" w:sz="0" w:space="0" w:color="auto"/>
                            <w:left w:val="none" w:sz="0" w:space="0" w:color="auto"/>
                            <w:bottom w:val="none" w:sz="0" w:space="0" w:color="auto"/>
                            <w:right w:val="none" w:sz="0" w:space="0" w:color="auto"/>
                          </w:divBdr>
                        </w:div>
                      </w:divsChild>
                    </w:div>
                    <w:div w:id="1525751100">
                      <w:marLeft w:val="0"/>
                      <w:marRight w:val="0"/>
                      <w:marTop w:val="0"/>
                      <w:marBottom w:val="0"/>
                      <w:divBdr>
                        <w:top w:val="none" w:sz="0" w:space="0" w:color="auto"/>
                        <w:left w:val="none" w:sz="0" w:space="0" w:color="auto"/>
                        <w:bottom w:val="none" w:sz="0" w:space="0" w:color="auto"/>
                        <w:right w:val="none" w:sz="0" w:space="0" w:color="auto"/>
                      </w:divBdr>
                      <w:divsChild>
                        <w:div w:id="1989626581">
                          <w:marLeft w:val="0"/>
                          <w:marRight w:val="0"/>
                          <w:marTop w:val="0"/>
                          <w:marBottom w:val="0"/>
                          <w:divBdr>
                            <w:top w:val="none" w:sz="0" w:space="0" w:color="auto"/>
                            <w:left w:val="none" w:sz="0" w:space="0" w:color="auto"/>
                            <w:bottom w:val="none" w:sz="0" w:space="0" w:color="auto"/>
                            <w:right w:val="none" w:sz="0" w:space="0" w:color="auto"/>
                          </w:divBdr>
                        </w:div>
                        <w:div w:id="1627154701">
                          <w:marLeft w:val="0"/>
                          <w:marRight w:val="0"/>
                          <w:marTop w:val="0"/>
                          <w:marBottom w:val="0"/>
                          <w:divBdr>
                            <w:top w:val="none" w:sz="0" w:space="0" w:color="auto"/>
                            <w:left w:val="none" w:sz="0" w:space="0" w:color="auto"/>
                            <w:bottom w:val="none" w:sz="0" w:space="0" w:color="auto"/>
                            <w:right w:val="none" w:sz="0" w:space="0" w:color="auto"/>
                          </w:divBdr>
                        </w:div>
                        <w:div w:id="980496453">
                          <w:marLeft w:val="0"/>
                          <w:marRight w:val="0"/>
                          <w:marTop w:val="0"/>
                          <w:marBottom w:val="0"/>
                          <w:divBdr>
                            <w:top w:val="none" w:sz="0" w:space="0" w:color="auto"/>
                            <w:left w:val="none" w:sz="0" w:space="0" w:color="auto"/>
                            <w:bottom w:val="none" w:sz="0" w:space="0" w:color="auto"/>
                            <w:right w:val="none" w:sz="0" w:space="0" w:color="auto"/>
                          </w:divBdr>
                        </w:div>
                        <w:div w:id="1695422129">
                          <w:marLeft w:val="0"/>
                          <w:marRight w:val="0"/>
                          <w:marTop w:val="0"/>
                          <w:marBottom w:val="0"/>
                          <w:divBdr>
                            <w:top w:val="none" w:sz="0" w:space="0" w:color="auto"/>
                            <w:left w:val="none" w:sz="0" w:space="0" w:color="auto"/>
                            <w:bottom w:val="none" w:sz="0" w:space="0" w:color="auto"/>
                            <w:right w:val="none" w:sz="0" w:space="0" w:color="auto"/>
                          </w:divBdr>
                        </w:div>
                        <w:div w:id="323171550">
                          <w:marLeft w:val="0"/>
                          <w:marRight w:val="0"/>
                          <w:marTop w:val="0"/>
                          <w:marBottom w:val="0"/>
                          <w:divBdr>
                            <w:top w:val="none" w:sz="0" w:space="0" w:color="auto"/>
                            <w:left w:val="none" w:sz="0" w:space="0" w:color="auto"/>
                            <w:bottom w:val="none" w:sz="0" w:space="0" w:color="auto"/>
                            <w:right w:val="none" w:sz="0" w:space="0" w:color="auto"/>
                          </w:divBdr>
                        </w:div>
                        <w:div w:id="973174359">
                          <w:marLeft w:val="0"/>
                          <w:marRight w:val="0"/>
                          <w:marTop w:val="0"/>
                          <w:marBottom w:val="0"/>
                          <w:divBdr>
                            <w:top w:val="none" w:sz="0" w:space="0" w:color="auto"/>
                            <w:left w:val="none" w:sz="0" w:space="0" w:color="auto"/>
                            <w:bottom w:val="none" w:sz="0" w:space="0" w:color="auto"/>
                            <w:right w:val="none" w:sz="0" w:space="0" w:color="auto"/>
                          </w:divBdr>
                        </w:div>
                        <w:div w:id="502667722">
                          <w:marLeft w:val="0"/>
                          <w:marRight w:val="0"/>
                          <w:marTop w:val="0"/>
                          <w:marBottom w:val="0"/>
                          <w:divBdr>
                            <w:top w:val="none" w:sz="0" w:space="0" w:color="auto"/>
                            <w:left w:val="none" w:sz="0" w:space="0" w:color="auto"/>
                            <w:bottom w:val="none" w:sz="0" w:space="0" w:color="auto"/>
                            <w:right w:val="none" w:sz="0" w:space="0" w:color="auto"/>
                          </w:divBdr>
                        </w:div>
                      </w:divsChild>
                    </w:div>
                    <w:div w:id="1880505311">
                      <w:marLeft w:val="0"/>
                      <w:marRight w:val="0"/>
                      <w:marTop w:val="0"/>
                      <w:marBottom w:val="0"/>
                      <w:divBdr>
                        <w:top w:val="none" w:sz="0" w:space="0" w:color="auto"/>
                        <w:left w:val="none" w:sz="0" w:space="0" w:color="auto"/>
                        <w:bottom w:val="none" w:sz="0" w:space="0" w:color="auto"/>
                        <w:right w:val="none" w:sz="0" w:space="0" w:color="auto"/>
                      </w:divBdr>
                      <w:divsChild>
                        <w:div w:id="349141810">
                          <w:marLeft w:val="0"/>
                          <w:marRight w:val="0"/>
                          <w:marTop w:val="0"/>
                          <w:marBottom w:val="0"/>
                          <w:divBdr>
                            <w:top w:val="none" w:sz="0" w:space="0" w:color="auto"/>
                            <w:left w:val="none" w:sz="0" w:space="0" w:color="auto"/>
                            <w:bottom w:val="none" w:sz="0" w:space="0" w:color="auto"/>
                            <w:right w:val="none" w:sz="0" w:space="0" w:color="auto"/>
                          </w:divBdr>
                        </w:div>
                        <w:div w:id="1422527676">
                          <w:marLeft w:val="0"/>
                          <w:marRight w:val="0"/>
                          <w:marTop w:val="0"/>
                          <w:marBottom w:val="0"/>
                          <w:divBdr>
                            <w:top w:val="none" w:sz="0" w:space="0" w:color="auto"/>
                            <w:left w:val="none" w:sz="0" w:space="0" w:color="auto"/>
                            <w:bottom w:val="none" w:sz="0" w:space="0" w:color="auto"/>
                            <w:right w:val="none" w:sz="0" w:space="0" w:color="auto"/>
                          </w:divBdr>
                        </w:div>
                        <w:div w:id="558515815">
                          <w:marLeft w:val="0"/>
                          <w:marRight w:val="0"/>
                          <w:marTop w:val="0"/>
                          <w:marBottom w:val="0"/>
                          <w:divBdr>
                            <w:top w:val="none" w:sz="0" w:space="0" w:color="auto"/>
                            <w:left w:val="none" w:sz="0" w:space="0" w:color="auto"/>
                            <w:bottom w:val="none" w:sz="0" w:space="0" w:color="auto"/>
                            <w:right w:val="none" w:sz="0" w:space="0" w:color="auto"/>
                          </w:divBdr>
                        </w:div>
                      </w:divsChild>
                    </w:div>
                    <w:div w:id="284967059">
                      <w:marLeft w:val="0"/>
                      <w:marRight w:val="0"/>
                      <w:marTop w:val="0"/>
                      <w:marBottom w:val="0"/>
                      <w:divBdr>
                        <w:top w:val="none" w:sz="0" w:space="0" w:color="auto"/>
                        <w:left w:val="none" w:sz="0" w:space="0" w:color="auto"/>
                        <w:bottom w:val="none" w:sz="0" w:space="0" w:color="auto"/>
                        <w:right w:val="none" w:sz="0" w:space="0" w:color="auto"/>
                      </w:divBdr>
                      <w:divsChild>
                        <w:div w:id="20404194">
                          <w:marLeft w:val="0"/>
                          <w:marRight w:val="0"/>
                          <w:marTop w:val="0"/>
                          <w:marBottom w:val="0"/>
                          <w:divBdr>
                            <w:top w:val="none" w:sz="0" w:space="0" w:color="auto"/>
                            <w:left w:val="none" w:sz="0" w:space="0" w:color="auto"/>
                            <w:bottom w:val="none" w:sz="0" w:space="0" w:color="auto"/>
                            <w:right w:val="none" w:sz="0" w:space="0" w:color="auto"/>
                          </w:divBdr>
                        </w:div>
                        <w:div w:id="671686045">
                          <w:marLeft w:val="0"/>
                          <w:marRight w:val="0"/>
                          <w:marTop w:val="0"/>
                          <w:marBottom w:val="0"/>
                          <w:divBdr>
                            <w:top w:val="none" w:sz="0" w:space="0" w:color="auto"/>
                            <w:left w:val="none" w:sz="0" w:space="0" w:color="auto"/>
                            <w:bottom w:val="none" w:sz="0" w:space="0" w:color="auto"/>
                            <w:right w:val="none" w:sz="0" w:space="0" w:color="auto"/>
                          </w:divBdr>
                        </w:div>
                        <w:div w:id="461313267">
                          <w:marLeft w:val="0"/>
                          <w:marRight w:val="0"/>
                          <w:marTop w:val="0"/>
                          <w:marBottom w:val="0"/>
                          <w:divBdr>
                            <w:top w:val="none" w:sz="0" w:space="0" w:color="auto"/>
                            <w:left w:val="none" w:sz="0" w:space="0" w:color="auto"/>
                            <w:bottom w:val="none" w:sz="0" w:space="0" w:color="auto"/>
                            <w:right w:val="none" w:sz="0" w:space="0" w:color="auto"/>
                          </w:divBdr>
                        </w:div>
                        <w:div w:id="825557552">
                          <w:marLeft w:val="0"/>
                          <w:marRight w:val="0"/>
                          <w:marTop w:val="0"/>
                          <w:marBottom w:val="0"/>
                          <w:divBdr>
                            <w:top w:val="none" w:sz="0" w:space="0" w:color="auto"/>
                            <w:left w:val="none" w:sz="0" w:space="0" w:color="auto"/>
                            <w:bottom w:val="none" w:sz="0" w:space="0" w:color="auto"/>
                            <w:right w:val="none" w:sz="0" w:space="0" w:color="auto"/>
                          </w:divBdr>
                        </w:div>
                        <w:div w:id="1882816476">
                          <w:marLeft w:val="0"/>
                          <w:marRight w:val="0"/>
                          <w:marTop w:val="0"/>
                          <w:marBottom w:val="0"/>
                          <w:divBdr>
                            <w:top w:val="none" w:sz="0" w:space="0" w:color="auto"/>
                            <w:left w:val="none" w:sz="0" w:space="0" w:color="auto"/>
                            <w:bottom w:val="none" w:sz="0" w:space="0" w:color="auto"/>
                            <w:right w:val="none" w:sz="0" w:space="0" w:color="auto"/>
                          </w:divBdr>
                        </w:div>
                        <w:div w:id="1077286827">
                          <w:marLeft w:val="0"/>
                          <w:marRight w:val="0"/>
                          <w:marTop w:val="0"/>
                          <w:marBottom w:val="0"/>
                          <w:divBdr>
                            <w:top w:val="none" w:sz="0" w:space="0" w:color="auto"/>
                            <w:left w:val="none" w:sz="0" w:space="0" w:color="auto"/>
                            <w:bottom w:val="none" w:sz="0" w:space="0" w:color="auto"/>
                            <w:right w:val="none" w:sz="0" w:space="0" w:color="auto"/>
                          </w:divBdr>
                        </w:div>
                      </w:divsChild>
                    </w:div>
                    <w:div w:id="1841503630">
                      <w:marLeft w:val="0"/>
                      <w:marRight w:val="0"/>
                      <w:marTop w:val="0"/>
                      <w:marBottom w:val="0"/>
                      <w:divBdr>
                        <w:top w:val="none" w:sz="0" w:space="0" w:color="auto"/>
                        <w:left w:val="none" w:sz="0" w:space="0" w:color="auto"/>
                        <w:bottom w:val="none" w:sz="0" w:space="0" w:color="auto"/>
                        <w:right w:val="none" w:sz="0" w:space="0" w:color="auto"/>
                      </w:divBdr>
                      <w:divsChild>
                        <w:div w:id="1523588132">
                          <w:marLeft w:val="0"/>
                          <w:marRight w:val="0"/>
                          <w:marTop w:val="0"/>
                          <w:marBottom w:val="0"/>
                          <w:divBdr>
                            <w:top w:val="none" w:sz="0" w:space="0" w:color="auto"/>
                            <w:left w:val="none" w:sz="0" w:space="0" w:color="auto"/>
                            <w:bottom w:val="none" w:sz="0" w:space="0" w:color="auto"/>
                            <w:right w:val="none" w:sz="0" w:space="0" w:color="auto"/>
                          </w:divBdr>
                        </w:div>
                        <w:div w:id="538474814">
                          <w:marLeft w:val="0"/>
                          <w:marRight w:val="0"/>
                          <w:marTop w:val="0"/>
                          <w:marBottom w:val="0"/>
                          <w:divBdr>
                            <w:top w:val="none" w:sz="0" w:space="0" w:color="auto"/>
                            <w:left w:val="none" w:sz="0" w:space="0" w:color="auto"/>
                            <w:bottom w:val="none" w:sz="0" w:space="0" w:color="auto"/>
                            <w:right w:val="none" w:sz="0" w:space="0" w:color="auto"/>
                          </w:divBdr>
                        </w:div>
                        <w:div w:id="1579710540">
                          <w:marLeft w:val="0"/>
                          <w:marRight w:val="0"/>
                          <w:marTop w:val="0"/>
                          <w:marBottom w:val="0"/>
                          <w:divBdr>
                            <w:top w:val="none" w:sz="0" w:space="0" w:color="auto"/>
                            <w:left w:val="none" w:sz="0" w:space="0" w:color="auto"/>
                            <w:bottom w:val="none" w:sz="0" w:space="0" w:color="auto"/>
                            <w:right w:val="none" w:sz="0" w:space="0" w:color="auto"/>
                          </w:divBdr>
                        </w:div>
                        <w:div w:id="669142734">
                          <w:marLeft w:val="0"/>
                          <w:marRight w:val="0"/>
                          <w:marTop w:val="0"/>
                          <w:marBottom w:val="0"/>
                          <w:divBdr>
                            <w:top w:val="none" w:sz="0" w:space="0" w:color="auto"/>
                            <w:left w:val="none" w:sz="0" w:space="0" w:color="auto"/>
                            <w:bottom w:val="none" w:sz="0" w:space="0" w:color="auto"/>
                            <w:right w:val="none" w:sz="0" w:space="0" w:color="auto"/>
                          </w:divBdr>
                        </w:div>
                        <w:div w:id="1601600923">
                          <w:marLeft w:val="0"/>
                          <w:marRight w:val="0"/>
                          <w:marTop w:val="0"/>
                          <w:marBottom w:val="0"/>
                          <w:divBdr>
                            <w:top w:val="none" w:sz="0" w:space="0" w:color="auto"/>
                            <w:left w:val="none" w:sz="0" w:space="0" w:color="auto"/>
                            <w:bottom w:val="none" w:sz="0" w:space="0" w:color="auto"/>
                            <w:right w:val="none" w:sz="0" w:space="0" w:color="auto"/>
                          </w:divBdr>
                        </w:div>
                        <w:div w:id="1048799982">
                          <w:marLeft w:val="0"/>
                          <w:marRight w:val="0"/>
                          <w:marTop w:val="0"/>
                          <w:marBottom w:val="0"/>
                          <w:divBdr>
                            <w:top w:val="none" w:sz="0" w:space="0" w:color="auto"/>
                            <w:left w:val="none" w:sz="0" w:space="0" w:color="auto"/>
                            <w:bottom w:val="none" w:sz="0" w:space="0" w:color="auto"/>
                            <w:right w:val="none" w:sz="0" w:space="0" w:color="auto"/>
                          </w:divBdr>
                        </w:div>
                        <w:div w:id="665477853">
                          <w:marLeft w:val="0"/>
                          <w:marRight w:val="0"/>
                          <w:marTop w:val="0"/>
                          <w:marBottom w:val="0"/>
                          <w:divBdr>
                            <w:top w:val="none" w:sz="0" w:space="0" w:color="auto"/>
                            <w:left w:val="none" w:sz="0" w:space="0" w:color="auto"/>
                            <w:bottom w:val="none" w:sz="0" w:space="0" w:color="auto"/>
                            <w:right w:val="none" w:sz="0" w:space="0" w:color="auto"/>
                          </w:divBdr>
                        </w:div>
                        <w:div w:id="476997072">
                          <w:marLeft w:val="0"/>
                          <w:marRight w:val="0"/>
                          <w:marTop w:val="0"/>
                          <w:marBottom w:val="0"/>
                          <w:divBdr>
                            <w:top w:val="none" w:sz="0" w:space="0" w:color="auto"/>
                            <w:left w:val="none" w:sz="0" w:space="0" w:color="auto"/>
                            <w:bottom w:val="none" w:sz="0" w:space="0" w:color="auto"/>
                            <w:right w:val="none" w:sz="0" w:space="0" w:color="auto"/>
                          </w:divBdr>
                        </w:div>
                        <w:div w:id="5532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cffa82de-ef30-40a5-8ce5-1d74c9f30a82&amp;path=2016%5c11%5c20161118%5c346904_2016.html" TargetMode="External"/><Relationship Id="rId10" Type="http://schemas.openxmlformats.org/officeDocument/2006/relationships/theme" Target="theme/theme1.xml"/><Relationship Id="rId4" Type="http://schemas.openxmlformats.org/officeDocument/2006/relationships/hyperlink" Target="http://bzp.uzp.gov.pl/Out/www.dzikowiec.itl.pl/bip/"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7772</Words>
  <Characters>46637</Characters>
  <Application>Microsoft Office Word</Application>
  <DocSecurity>0</DocSecurity>
  <Lines>388</Lines>
  <Paragraphs>108</Paragraphs>
  <ScaleCrop>false</ScaleCrop>
  <Company/>
  <LinksUpToDate>false</LinksUpToDate>
  <CharactersWithSpaces>54301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2016-11-18T17:49:00Z</dcterms:created>
  <dcterms:modified xsi:type="dcterms:W3CDTF">2016-11-18T17:50:00Z</dcterms:modified>
</cp:coreProperties>
</file>